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19A4A">
      <w:pPr>
        <w:pStyle w:val="19"/>
        <w:framePr/>
      </w:pPr>
      <w:r>
        <w:rPr>
          <w:rFonts w:ascii="Times New Roman"/>
        </w:rPr>
        <w:t>ICS</w:t>
      </w:r>
      <w:r>
        <w:rPr>
          <w:rFonts w:hint="eastAsia"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w:t>
      </w:r>
      <w:r>
        <w:t>ICS</w:t>
      </w:r>
      <w:r>
        <w:rPr>
          <w:rFonts w:hint="eastAsia"/>
        </w:rPr>
        <w:t>号</w:t>
      </w:r>
      <w:r>
        <w:fldChar w:fldCharType="end"/>
      </w:r>
      <w:bookmarkEnd w:id="0"/>
    </w:p>
    <w:p w14:paraId="497A3776">
      <w:pPr>
        <w:pStyle w:val="19"/>
        <w:framePr/>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38779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tcBorders>
              <w:top w:val="nil"/>
              <w:left w:val="nil"/>
              <w:bottom w:val="nil"/>
              <w:right w:val="nil"/>
            </w:tcBorders>
          </w:tcPr>
          <w:p w14:paraId="695D0CEB">
            <w:pPr>
              <w:pStyle w:val="19"/>
              <w:framePr/>
            </w:pPr>
            <w: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11430"/>
                      <wp:wrapTight wrapText="bothSides">
                        <wp:wrapPolygon>
                          <wp:start x="0" y="0"/>
                          <wp:lineTo x="0" y="18692"/>
                          <wp:lineTo x="21363" y="18692"/>
                          <wp:lineTo x="21363" y="0"/>
                          <wp:lineTo x="0" y="0"/>
                        </wp:wrapPolygon>
                      </wp:wrapTight>
                      <wp:docPr id="1015983601" name="矩形 9"/>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upright="1"/>
                          </wps:wsp>
                        </a:graphicData>
                      </a:graphic>
                    </wp:anchor>
                  </w:drawing>
                </mc:Choice>
                <mc:Fallback>
                  <w:pict>
                    <v:rect id="矩形 9" o:spid="_x0000_s1026" o:spt="1" style="position:absolute;left:0pt;margin-left:-5.25pt;margin-top:0pt;height:15.6pt;width:68.25pt;mso-wrap-distance-left:9pt;mso-wrap-distance-right:9pt;z-index:-251653120;mso-width-relative:page;mso-height-relative:page;" fillcolor="#FFFFFF" filled="t" stroked="f" coordsize="21600,21600" wrapcoords="0 0 0 18692 21363 18692 21363 0 0 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Iri/s1QAAAAcBAAAPAAAAAAAAAAEAIAAAACIAAABkcnMvZG93bnJldi54bWxQSwEC&#10;FAAUAAAACACHTuJAQ/Rlr74BAAB1AwAADgAAAAAAAAABACAAAAAkAQAAZHJzL2Uyb0RvYy54bWxQ&#10;SwUGAAAAAAYABgBZAQAAVAUAAAAA&#10;">
                      <v:fill on="t" focussize="0,0"/>
                      <v:stroke on="f"/>
                      <v:imagedata o:title=""/>
                      <o:lock v:ext="edit" aspectratio="f"/>
                      <w10:wrap type="tight"/>
                    </v:rect>
                  </w:pict>
                </mc:Fallback>
              </mc:AlternateContent>
            </w:r>
            <w:bookmarkStart w:id="2" w:name="BAH"/>
            <w:r>
              <w:fldChar w:fldCharType="begin">
                <w:ffData>
                  <w:name w:val="BAH"/>
                  <w:enabled/>
                  <w:calcOnExit w:val="0"/>
                  <w:textInput/>
                </w:ffData>
              </w:fldChar>
            </w:r>
            <w:r>
              <w:instrText xml:space="preserve"> FORMTEXT </w:instrText>
            </w:r>
            <w:r>
              <w:fldChar w:fldCharType="separate"/>
            </w:r>
            <w:r>
              <w:rPr>
                <w:rFonts w:hint="eastAsia"/>
              </w:rPr>
              <w:t>     </w:t>
            </w:r>
            <w:r>
              <w:fldChar w:fldCharType="end"/>
            </w:r>
            <w:bookmarkEnd w:id="2"/>
          </w:p>
        </w:tc>
      </w:tr>
    </w:tbl>
    <w:p w14:paraId="262DE2C4">
      <w:pPr>
        <w:pStyle w:val="32"/>
        <w:framePr/>
      </w:pPr>
      <w:bookmarkStart w:id="3" w:name="c3"/>
      <w:r>
        <w:t>T</w:t>
      </w:r>
      <w:r>
        <w:rPr>
          <w:rFonts w:hint="eastAsia"/>
        </w:rPr>
        <w:t>/</w:t>
      </w:r>
      <w:r>
        <w:t>JGE</w:t>
      </w:r>
      <w:bookmarkEnd w:id="3"/>
    </w:p>
    <w:p w14:paraId="134311D3">
      <w:pPr>
        <w:pStyle w:val="21"/>
        <w:framePr w:w="8840" w:x="1812" w:y="2343"/>
        <w:spacing w:line="360" w:lineRule="auto"/>
        <w:rPr>
          <w:sz w:val="52"/>
          <w:szCs w:val="52"/>
        </w:rPr>
      </w:pPr>
      <w:r>
        <w:rPr>
          <w:rFonts w:hint="eastAsia"/>
          <w:sz w:val="52"/>
          <w:szCs w:val="52"/>
        </w:rPr>
        <w:t>江西绿色生态品牌建设促进会</w:t>
      </w:r>
      <w:r>
        <w:rPr>
          <w:rFonts w:hint="eastAsia"/>
          <w:sz w:val="52"/>
          <w:szCs w:val="52"/>
          <w:lang w:val="en-US" w:eastAsia="zh-CN"/>
        </w:rPr>
        <w:t xml:space="preserve"> </w:t>
      </w:r>
      <w:r>
        <w:rPr>
          <w:rFonts w:hint="eastAsia"/>
          <w:sz w:val="52"/>
          <w:szCs w:val="52"/>
        </w:rPr>
        <w:t>团体标准</w:t>
      </w:r>
    </w:p>
    <w:p w14:paraId="58549DC4">
      <w:pPr>
        <w:pStyle w:val="18"/>
        <w:framePr/>
        <w:rPr>
          <w:rFonts w:hAnsi="黑体"/>
        </w:rPr>
      </w:pPr>
      <w:r>
        <w:rPr>
          <w:rFonts w:hint="eastAsia" w:ascii="Times New Roman"/>
        </w:rPr>
        <w:t>T/JGE</w:t>
      </w:r>
      <w:r>
        <w:rPr>
          <w:rFonts w:hAnsi="黑体"/>
        </w:rPr>
        <w:t xml:space="preserve"> </w:t>
      </w:r>
      <w:bookmarkStart w:id="4"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4"/>
      <w:r>
        <w:rPr>
          <w:rFonts w:hint="eastAsia" w:hAnsi="黑体"/>
        </w:rPr>
        <w:t>—</w:t>
      </w:r>
      <w:bookmarkStart w:id="5"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5"/>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B177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3D6D8DDB">
            <w:pPr>
              <w:pStyle w:val="30"/>
              <w:framePr/>
            </w:pPr>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Tight wrapText="bothSides">
                        <wp:wrapPolygon>
                          <wp:start x="0" y="0"/>
                          <wp:lineTo x="0" y="19800"/>
                          <wp:lineTo x="21240" y="19800"/>
                          <wp:lineTo x="21240" y="0"/>
                          <wp:lineTo x="0" y="0"/>
                        </wp:wrapPolygon>
                      </wp:wrapTight>
                      <wp:docPr id="2090859663" name="矩形 7"/>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upright="1"/>
                          </wps:wsp>
                        </a:graphicData>
                      </a:graphic>
                    </wp:anchor>
                  </w:drawing>
                </mc:Choice>
                <mc:Fallback>
                  <w:pict>
                    <v:rect id="矩形 7" o:spid="_x0000_s1026" o:spt="1" style="position:absolute;left:0pt;margin-left:372.8pt;margin-top:2.7pt;height:18pt;width:90pt;mso-wrap-distance-left:9pt;mso-wrap-distance-right:9pt;z-index:-251655168;mso-width-relative:page;mso-height-relative:page;" fillcolor="#FFFFFF" filled="t" stroked="f" coordsize="21600,21600" wrapcoords="0 0 0 19800 21240 19800 21240 0 0 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5g8svWAAAACAEAAA8AAAAAAAAAAQAgAAAAIgAAAGRycy9kb3ducmV2LnhtbFBLAQIU&#10;ABQAAAAIAIdO4kA3QWtWvAEAAHYDAAAOAAAAAAAAAAEAIAAAACUBAABkcnMvZTJvRG9jLnhtbFBL&#10;BQYAAAAABgAGAFkBAABTBQAAAAA=&#10;">
                      <v:fill on="t" focussize="0,0"/>
                      <v:stroke on="f"/>
                      <v:imagedata o:title=""/>
                      <o:lock v:ext="edit" aspectratio="f"/>
                      <w10:wrap type="tight"/>
                    </v:rect>
                  </w:pict>
                </mc:Fallback>
              </mc:AlternateContent>
            </w:r>
            <w:bookmarkStart w:id="6" w:name="DT"/>
            <w:r>
              <w:fldChar w:fldCharType="begin">
                <w:ffData>
                  <w:name w:val="DT"/>
                  <w:enabled/>
                  <w:calcOnExit w:val="0"/>
                  <w:textInput/>
                </w:ffData>
              </w:fldChar>
            </w:r>
            <w:r>
              <w:instrText xml:space="preserve"> FORMTEXT </w:instrText>
            </w:r>
            <w:r>
              <w:fldChar w:fldCharType="separate"/>
            </w:r>
            <w:r>
              <w:rPr>
                <w:rFonts w:hint="eastAsia"/>
              </w:rPr>
              <w:t>     </w:t>
            </w:r>
            <w:r>
              <w:fldChar w:fldCharType="end"/>
            </w:r>
            <w:bookmarkEnd w:id="6"/>
          </w:p>
        </w:tc>
      </w:tr>
    </w:tbl>
    <w:p w14:paraId="5F672435">
      <w:pPr>
        <w:pStyle w:val="18"/>
        <w:framePr/>
        <w:rPr>
          <w:rFonts w:hAnsi="黑体"/>
        </w:rPr>
      </w:pPr>
    </w:p>
    <w:p w14:paraId="1931EBBB">
      <w:pPr>
        <w:pStyle w:val="18"/>
        <w:framePr/>
        <w:rPr>
          <w:rFonts w:hAnsi="黑体"/>
        </w:rPr>
      </w:pPr>
    </w:p>
    <w:p w14:paraId="3EF901CF">
      <w:pPr>
        <w:pStyle w:val="15"/>
        <w:framePr/>
      </w:pPr>
      <w:bookmarkStart w:id="7"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江西绿色生态</w:t>
      </w:r>
      <w:r>
        <w:t xml:space="preserve"> </w:t>
      </w:r>
      <w:r>
        <w:rPr>
          <w:rFonts w:hint="eastAsia"/>
        </w:rPr>
        <w:t>黄精</w:t>
      </w:r>
      <w:r>
        <w:fldChar w:fldCharType="end"/>
      </w:r>
      <w:bookmarkEnd w:id="7"/>
    </w:p>
    <w:p w14:paraId="2EBDE64C">
      <w:pPr>
        <w:pStyle w:val="24"/>
        <w:framePr/>
      </w:pPr>
      <w:bookmarkStart w:id="8"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Jiangxi Green Ecology Polygonati rhizoma</w:t>
      </w:r>
      <w:r>
        <w:fldChar w:fldCharType="end"/>
      </w:r>
      <w:bookmarkEnd w:id="8"/>
    </w:p>
    <w:p w14:paraId="6F33EA8E">
      <w:pPr>
        <w:pStyle w:val="23"/>
        <w:framePr/>
      </w:pPr>
      <w:bookmarkStart w:id="9"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9"/>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E90D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603DC995">
            <w:pPr>
              <w:pStyle w:val="22"/>
              <w:framePr/>
              <w:ind w:firstLine="2160" w:firstLineChars="900"/>
              <w:jc w:val="left"/>
            </w:pPr>
            <w:r>
              <mc:AlternateContent>
                <mc:Choice Requires="wps">
                  <w:drawing>
                    <wp:anchor distT="0" distB="0" distL="114300" distR="114300" simplePos="0" relativeHeight="251662336" behindDoc="1" locked="0" layoutInCell="1" allowOverlap="1">
                      <wp:simplePos x="0" y="0"/>
                      <wp:positionH relativeFrom="column">
                        <wp:posOffset>2200910</wp:posOffset>
                      </wp:positionH>
                      <wp:positionV relativeFrom="paragraph">
                        <wp:posOffset>573405</wp:posOffset>
                      </wp:positionV>
                      <wp:extent cx="1905000" cy="254000"/>
                      <wp:effectExtent l="0" t="0" r="0" b="12700"/>
                      <wp:wrapTight wrapText="bothSides">
                        <wp:wrapPolygon>
                          <wp:start x="0" y="0"/>
                          <wp:lineTo x="0" y="19440"/>
                          <wp:lineTo x="21384" y="19440"/>
                          <wp:lineTo x="21384" y="0"/>
                          <wp:lineTo x="0" y="0"/>
                        </wp:wrapPolygon>
                      </wp:wrapTight>
                      <wp:docPr id="690132134" name="矩形 5"/>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upright="1"/>
                          </wps:wsp>
                        </a:graphicData>
                      </a:graphic>
                    </wp:anchor>
                  </w:drawing>
                </mc:Choice>
                <mc:Fallback>
                  <w:pict>
                    <v:rect id="矩形 5" o:spid="_x0000_s1026" o:spt="1" style="position:absolute;left:0pt;margin-left:173.3pt;margin-top:45.15pt;height:20pt;width:150pt;mso-wrap-distance-left:9pt;mso-wrap-distance-right:9pt;z-index:-251654144;mso-width-relative:page;mso-height-relative:page;" fillcolor="#FFFFFF" filled="t" stroked="f" coordsize="21600,21600" wrapcoords="0 0 0 19440 21384 19440 21384 0 0 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Fia6S1QAAAAoBAAAPAAAAAAAAAAEAIAAAACIAAABkcnMvZG93bnJldi54bWxQSwECFAAU&#10;AAAACACHTuJAdC7tersBAAB1AwAADgAAAAAAAAABACAAAAAkAQAAZHJzL2Uyb0RvYy54bWxQSwUG&#10;AAAAAAYABgBZAQAAUQUAAAAA&#10;">
                      <v:fill on="t" focussize="0,0"/>
                      <v:stroke on="f"/>
                      <v:imagedata o:title=""/>
                      <o:lock v:ext="edit" aspectratio="f"/>
                      <w10:wrap type="tight"/>
                    </v:rect>
                  </w:pict>
                </mc:Fallback>
              </mc:AlternateContent>
            </w:r>
            <w:bookmarkStart w:id="10" w:name="LB"/>
            <w:r>
              <w:rPr>
                <w:rFonts w:hint="eastAsia"/>
              </w:rPr>
              <w:t xml:space="preserve">             </w:t>
            </w:r>
            <w:bookmarkEnd w:id="10"/>
          </w:p>
        </w:tc>
      </w:tr>
      <w:tr w14:paraId="0F793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3C6A9CE">
            <w:pPr>
              <w:pStyle w:val="29"/>
              <w:framePr/>
            </w:pPr>
            <w:bookmarkStart w:id="11" w:name="WCRQ"/>
            <w:r>
              <w:fldChar w:fldCharType="begin">
                <w:ffData>
                  <w:name w:val="WCRQ"/>
                  <w:enabled/>
                  <w:calcOnExit w:val="0"/>
                  <w:textInput/>
                </w:ffData>
              </w:fldChar>
            </w:r>
            <w:r>
              <w:instrText xml:space="preserve"> FORMTEXT </w:instrText>
            </w:r>
            <w:r>
              <w:fldChar w:fldCharType="separate"/>
            </w:r>
            <w:r>
              <w:rPr>
                <w:rFonts w:hint="eastAsia"/>
              </w:rPr>
              <w:t>     </w:t>
            </w:r>
            <w:r>
              <w:fldChar w:fldCharType="end"/>
            </w:r>
            <w:bookmarkEnd w:id="11"/>
          </w:p>
        </w:tc>
      </w:tr>
    </w:tbl>
    <w:p w14:paraId="5A308FAA">
      <w:pPr>
        <w:pStyle w:val="31"/>
        <w:framePr/>
      </w:pPr>
      <w:bookmarkStart w:id="12"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3"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ge">
                  <wp:posOffset>9251315</wp:posOffset>
                </wp:positionV>
                <wp:extent cx="6120130" cy="0"/>
                <wp:effectExtent l="0" t="4445" r="0" b="5080"/>
                <wp:wrapTight wrapText="bothSides">
                  <wp:wrapPolygon>
                    <wp:start x="0" y="0"/>
                    <wp:lineTo x="0" y="21600"/>
                    <wp:lineTo x="21600" y="21600"/>
                    <wp:lineTo x="21600" y="0"/>
                  </wp:wrapPolygon>
                </wp:wrapTight>
                <wp:docPr id="373043528" name="直接连接符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0.05pt;margin-top:728.45pt;height:0pt;width:481.9pt;mso-position-vertical-relative:page;mso-wrap-distance-left:9pt;mso-wrap-distance-right:9pt;z-index:251659264;mso-width-relative:page;mso-height-relative:page;" filled="f" stroked="t" coordsize="21600,21600" wrapcoords="0 0 0 21600 21600 21600 21600 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MtL/PXAAAACwEAAA8AAAAAAAAAAQAgAAAAIgAAAGRycy9kb3ducmV2LnhtbFBL&#10;AQIUABQAAAAIAIdO4kCF8aU09wEAAO4DAAAOAAAAAAAAAAEAIAAAACYBAABkcnMvZTJvRG9jLnht&#10;bFBLBQYAAAAABgAGAFkBAACPBQAAAAA=&#10;">
                <v:fill on="f" focussize="0,0"/>
                <v:stroke color="#000000" joinstyle="round"/>
                <v:imagedata o:title=""/>
                <o:lock v:ext="edit" aspectratio="f"/>
                <w10:wrap type="tight"/>
              </v:line>
            </w:pict>
          </mc:Fallback>
        </mc:AlternateContent>
      </w:r>
    </w:p>
    <w:p w14:paraId="4E4E2A23">
      <w:pPr>
        <w:pStyle w:val="34"/>
        <w:framePr/>
      </w:pPr>
      <w:bookmarkStart w:id="14" w:name="SY"/>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3291D84D">
      <w:pPr>
        <w:pStyle w:val="33"/>
        <w:framePr/>
      </w:pPr>
      <w:bookmarkStart w:id="17" w:name="fm"/>
      <w:r>
        <w:fldChar w:fldCharType="begin">
          <w:ffData>
            <w:name w:val="fm"/>
            <w:enabled/>
            <w:calcOnExit w:val="0"/>
            <w:textInput/>
          </w:ffData>
        </w:fldChar>
      </w:r>
      <w:r>
        <w:instrText xml:space="preserve"> FORMTEXT </w:instrText>
      </w:r>
      <w:r>
        <w:fldChar w:fldCharType="separate"/>
      </w:r>
      <w:r>
        <w:rPr>
          <w:rFonts w:hint="eastAsia"/>
        </w:rPr>
        <w:t>江西绿色生态品牌建设促进会</w:t>
      </w:r>
      <w:r>
        <w:fldChar w:fldCharType="end"/>
      </w:r>
      <w:bookmarkEnd w:id="17"/>
      <w:r>
        <w:rPr>
          <w:rFonts w:hint="eastAsia" w:hAnsi="黑体"/>
        </w:rPr>
        <w:t>   </w:t>
      </w:r>
      <w:r>
        <w:rPr>
          <w:rStyle w:val="12"/>
          <w:rFonts w:hint="eastAsia"/>
          <w:w w:val="100"/>
        </w:rPr>
        <w:t>发布</w:t>
      </w:r>
    </w:p>
    <w:p w14:paraId="44AD9027">
      <w:pPr>
        <w:pStyle w:val="14"/>
        <w:sectPr>
          <w:pgSz w:w="11906" w:h="16838"/>
          <w:pgMar w:top="1440" w:right="1800" w:bottom="1440" w:left="1800" w:header="851" w:footer="992" w:gutter="0"/>
          <w:cols w:space="425" w:num="1"/>
          <w:docGrid w:type="lines" w:linePitch="312" w:charSpace="0"/>
        </w:sectPr>
      </w:pPr>
      <w:bookmarkStart w:id="46" w:name="_GoBack"/>
      <w:bookmarkEnd w:id="46"/>
      <w:r>
        <w:rPr>
          <w:sz w:val="21"/>
        </w:rPr>
        <mc:AlternateContent>
          <mc:Choice Requires="wps">
            <w:drawing>
              <wp:anchor distT="0" distB="0" distL="114300" distR="114300" simplePos="0" relativeHeight="251664384" behindDoc="0" locked="0" layoutInCell="1" allowOverlap="1">
                <wp:simplePos x="0" y="0"/>
                <wp:positionH relativeFrom="column">
                  <wp:posOffset>-324485</wp:posOffset>
                </wp:positionH>
                <wp:positionV relativeFrom="page">
                  <wp:posOffset>9288780</wp:posOffset>
                </wp:positionV>
                <wp:extent cx="6328410" cy="635"/>
                <wp:effectExtent l="0" t="0" r="0" b="0"/>
                <wp:wrapTopAndBottom/>
                <wp:docPr id="1" name="直线 1030"/>
                <wp:cNvGraphicFramePr/>
                <a:graphic xmlns:a="http://schemas.openxmlformats.org/drawingml/2006/main">
                  <a:graphicData uri="http://schemas.microsoft.com/office/word/2010/wordprocessingShape">
                    <wps:wsp>
                      <wps:cNvSpPr/>
                      <wps:spPr>
                        <a:xfrm>
                          <a:off x="818515" y="9380220"/>
                          <a:ext cx="632841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30" o:spid="_x0000_s1026" o:spt="20" style="position:absolute;left:0pt;margin-left:-25.55pt;margin-top:731.4pt;height:0.05pt;width:498.3pt;mso-position-vertical-relative:page;mso-wrap-distance-bottom:0pt;mso-wrap-distance-top:0pt;z-index:251664384;mso-width-relative:page;mso-height-relative:page;" filled="f" stroked="t" coordsize="21600,21600" o:gfxdata="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geiK2gAAAA0BAAAPAAAAAAAAAAEAIAAAACIAAABkcnMvZG93bnJldi54bWxQ&#10;SwECFAAUAAAACACHTuJAQgaGu/UBAADrAwAADgAAAAAAAAABACAAAAApAQAAZHJzL2Uyb0RvYy54&#10;bWxQSwUGAAAAAAYABgBZAQAAkAUAAAAA&#10;">
                <v:fill on="f" focussize="0,0"/>
                <v:stroke color="#000000" joinstyle="round"/>
                <v:imagedata o:title=""/>
                <o:lock v:ext="edit" aspectratio="f"/>
                <w10:wrap type="topAndBottom"/>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4445" r="0" b="5080"/>
                <wp:wrapTight wrapText="bothSides">
                  <wp:wrapPolygon>
                    <wp:start x="0" y="0"/>
                    <wp:lineTo x="0" y="21600"/>
                    <wp:lineTo x="21600" y="21600"/>
                    <wp:lineTo x="21600" y="0"/>
                  </wp:wrapPolygon>
                </wp:wrapTight>
                <wp:docPr id="2108885919"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0.05pt;margin-top:184.2pt;height:0pt;width:481.9pt;mso-wrap-distance-left:9pt;mso-wrap-distance-right:9pt;z-index:251660288;mso-width-relative:page;mso-height-relative:page;" filled="f" stroked="t" coordsize="21600,21600" wrapcoords="0 0 0 21600 21600 21600 21600 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dbwCNcAAAAJAQAADwAAAAAAAAABACAAAAAiAAAAZHJzL2Rvd25yZXYueG1s&#10;UEsBAhQAFAAAAAgAh07iQMALn/v5AQAA7wMAAA4AAAAAAAAAAQAgAAAAJgEAAGRycy9lMm9Eb2Mu&#10;eG1sUEsFBgAAAAAGAAYAWQEAAJEFAAAAAA==&#10;">
                <v:fill on="f" focussize="0,0"/>
                <v:stroke color="#000000" joinstyle="round"/>
                <v:imagedata o:title=""/>
                <o:lock v:ext="edit" aspectratio="f"/>
                <w10:wrap type="tight"/>
              </v:line>
            </w:pict>
          </mc:Fallback>
        </mc:AlternateContent>
      </w:r>
    </w:p>
    <w:p w14:paraId="40CAEF54">
      <w:pPr>
        <w:pStyle w:val="20"/>
      </w:pPr>
      <w:bookmarkStart w:id="18" w:name="_Toc88653175"/>
      <w:r>
        <w:rPr>
          <w:rFonts w:hint="eastAsia"/>
        </w:rPr>
        <w:t>目</w:t>
      </w:r>
      <w:bookmarkStart w:id="19" w:name="BKML"/>
      <w:r>
        <w:rPr>
          <w:rFonts w:hint="eastAsia" w:hAnsi="黑体"/>
        </w:rPr>
        <w:t>  </w:t>
      </w:r>
      <w:r>
        <w:rPr>
          <w:rFonts w:hint="eastAsia"/>
        </w:rPr>
        <w:t>次</w:t>
      </w:r>
      <w:bookmarkEnd w:id="19"/>
    </w:p>
    <w:p w14:paraId="4825C750">
      <w:pPr>
        <w:pStyle w:val="6"/>
        <w:tabs>
          <w:tab w:val="right" w:leader="dot" w:pos="9354"/>
          <w:tab w:val="clear" w:pos="9241"/>
        </w:tabs>
        <w:spacing w:before="78" w:after="78"/>
      </w:pPr>
      <w:r>
        <w:fldChar w:fldCharType="begin"/>
      </w:r>
      <w:r>
        <w:instrText xml:space="preserve"> TOC \h \z \t"</w:instrText>
      </w:r>
      <w:r>
        <w:rPr>
          <w:rFonts w:hint="eastAsia"/>
        </w:rPr>
        <w:instrText xml:space="preserve">前言、引言标题</w:instrText>
      </w:r>
      <w:r>
        <w:instrText xml:space="preserve">,1,</w:instrText>
      </w:r>
      <w:r>
        <w:rPr>
          <w:rFonts w:hint="eastAsia"/>
        </w:rPr>
        <w:instrText xml:space="preserve">参考文献、索引标题</w:instrText>
      </w:r>
      <w:r>
        <w:instrText xml:space="preserve">,1,</w:instrText>
      </w:r>
      <w:r>
        <w:rPr>
          <w:rFonts w:hint="eastAsia"/>
        </w:rPr>
        <w:instrText xml:space="preserve">章标题</w:instrText>
      </w:r>
      <w:r>
        <w:instrText xml:space="preserve">,1,</w:instrText>
      </w:r>
      <w:r>
        <w:rPr>
          <w:rFonts w:hint="eastAsia"/>
        </w:rPr>
        <w:instrText xml:space="preserve">参考文献</w:instrText>
      </w:r>
      <w:r>
        <w:instrText xml:space="preserve">,1,</w:instrText>
      </w:r>
      <w:r>
        <w:rPr>
          <w:rFonts w:hint="eastAsia"/>
        </w:rPr>
        <w:instrText xml:space="preserve">附录标识</w:instrText>
      </w:r>
      <w:r>
        <w:instrText xml:space="preserve">,1" \* MERGEFORMAT </w:instrText>
      </w:r>
      <w:r>
        <w:fldChar w:fldCharType="separate"/>
      </w:r>
      <w:r>
        <w:fldChar w:fldCharType="begin"/>
      </w:r>
      <w:r>
        <w:instrText xml:space="preserve"> HYPERLINK \l "_Toc3928" </w:instrText>
      </w:r>
      <w:r>
        <w:fldChar w:fldCharType="separate"/>
      </w:r>
      <w:r>
        <w:rPr>
          <w:rFonts w:hint="eastAsia"/>
        </w:rPr>
        <w:t>前</w:t>
      </w:r>
      <w:r>
        <w:rPr>
          <w:rFonts w:hint="eastAsia" w:hAnsi="黑体"/>
        </w:rPr>
        <w:t>  </w:t>
      </w:r>
      <w:r>
        <w:rPr>
          <w:rFonts w:hint="eastAsia"/>
        </w:rPr>
        <w:t>言</w:t>
      </w:r>
      <w:r>
        <w:tab/>
      </w:r>
      <w:r>
        <w:fldChar w:fldCharType="begin"/>
      </w:r>
      <w:r>
        <w:instrText xml:space="preserve"> PAGEREF _Toc3928 \h </w:instrText>
      </w:r>
      <w:r>
        <w:fldChar w:fldCharType="separate"/>
      </w:r>
      <w:r>
        <w:t>II</w:t>
      </w:r>
      <w:r>
        <w:fldChar w:fldCharType="end"/>
      </w:r>
      <w:r>
        <w:fldChar w:fldCharType="end"/>
      </w:r>
    </w:p>
    <w:p w14:paraId="0B331A55">
      <w:pPr>
        <w:pStyle w:val="6"/>
        <w:tabs>
          <w:tab w:val="right" w:leader="dot" w:pos="9354"/>
          <w:tab w:val="clear" w:pos="9241"/>
        </w:tabs>
        <w:spacing w:before="78" w:after="78"/>
      </w:pPr>
      <w:r>
        <w:fldChar w:fldCharType="begin"/>
      </w:r>
      <w:r>
        <w:instrText xml:space="preserve"> HYPERLINK \l "_Toc10246" </w:instrText>
      </w:r>
      <w:r>
        <w:fldChar w:fldCharType="separate"/>
      </w:r>
      <w:r>
        <w:rPr>
          <w:rFonts w:hint="eastAsia"/>
        </w:rPr>
        <w:t>引  言</w:t>
      </w:r>
      <w:r>
        <w:tab/>
      </w:r>
      <w:r>
        <w:fldChar w:fldCharType="begin"/>
      </w:r>
      <w:r>
        <w:instrText xml:space="preserve"> PAGEREF _Toc10246 \h </w:instrText>
      </w:r>
      <w:r>
        <w:fldChar w:fldCharType="separate"/>
      </w:r>
      <w:r>
        <w:t>III</w:t>
      </w:r>
      <w:r>
        <w:fldChar w:fldCharType="end"/>
      </w:r>
      <w:r>
        <w:fldChar w:fldCharType="end"/>
      </w:r>
    </w:p>
    <w:p w14:paraId="42FC08BD">
      <w:pPr>
        <w:pStyle w:val="6"/>
        <w:tabs>
          <w:tab w:val="right" w:leader="dot" w:pos="9354"/>
          <w:tab w:val="clear" w:pos="9241"/>
        </w:tabs>
        <w:spacing w:before="78" w:after="78"/>
      </w:pPr>
      <w:r>
        <w:fldChar w:fldCharType="begin"/>
      </w:r>
      <w:r>
        <w:instrText xml:space="preserve"> HYPERLINK \l "_Toc29677" </w:instrText>
      </w:r>
      <w:r>
        <w:fldChar w:fldCharType="separate"/>
      </w:r>
      <w:r>
        <w:rPr>
          <w:rFonts w:ascii="黑体" w:eastAsia="黑体"/>
        </w:rPr>
        <w:t xml:space="preserve">1 </w:t>
      </w:r>
      <w:r>
        <w:rPr>
          <w:rFonts w:hint="eastAsia"/>
        </w:rPr>
        <w:t>范围</w:t>
      </w:r>
      <w:r>
        <w:tab/>
      </w:r>
      <w:r>
        <w:fldChar w:fldCharType="begin"/>
      </w:r>
      <w:r>
        <w:instrText xml:space="preserve"> PAGEREF _Toc29677 \h </w:instrText>
      </w:r>
      <w:r>
        <w:fldChar w:fldCharType="separate"/>
      </w:r>
      <w:r>
        <w:t>1</w:t>
      </w:r>
      <w:r>
        <w:fldChar w:fldCharType="end"/>
      </w:r>
      <w:r>
        <w:fldChar w:fldCharType="end"/>
      </w:r>
    </w:p>
    <w:p w14:paraId="5495E5BD">
      <w:pPr>
        <w:pStyle w:val="6"/>
        <w:tabs>
          <w:tab w:val="right" w:leader="dot" w:pos="9354"/>
          <w:tab w:val="clear" w:pos="9241"/>
        </w:tabs>
        <w:spacing w:before="78" w:after="78"/>
      </w:pPr>
      <w:r>
        <w:fldChar w:fldCharType="begin"/>
      </w:r>
      <w:r>
        <w:instrText xml:space="preserve"> HYPERLINK \l "_Toc31768" </w:instrText>
      </w:r>
      <w:r>
        <w:fldChar w:fldCharType="separate"/>
      </w:r>
      <w:r>
        <w:rPr>
          <w:rFonts w:ascii="黑体" w:eastAsia="黑体"/>
        </w:rPr>
        <w:t xml:space="preserve">2 </w:t>
      </w:r>
      <w:r>
        <w:rPr>
          <w:rFonts w:hint="eastAsia"/>
        </w:rPr>
        <w:t>规范性引用文件</w:t>
      </w:r>
      <w:r>
        <w:tab/>
      </w:r>
      <w:r>
        <w:fldChar w:fldCharType="begin"/>
      </w:r>
      <w:r>
        <w:instrText xml:space="preserve"> PAGEREF _Toc31768 \h </w:instrText>
      </w:r>
      <w:r>
        <w:fldChar w:fldCharType="separate"/>
      </w:r>
      <w:r>
        <w:t>1</w:t>
      </w:r>
      <w:r>
        <w:fldChar w:fldCharType="end"/>
      </w:r>
      <w:r>
        <w:fldChar w:fldCharType="end"/>
      </w:r>
    </w:p>
    <w:p w14:paraId="61E93FAE">
      <w:pPr>
        <w:pStyle w:val="6"/>
        <w:tabs>
          <w:tab w:val="right" w:leader="dot" w:pos="9354"/>
          <w:tab w:val="clear" w:pos="9241"/>
        </w:tabs>
        <w:spacing w:before="78" w:after="78"/>
      </w:pPr>
      <w:r>
        <w:fldChar w:fldCharType="begin"/>
      </w:r>
      <w:r>
        <w:instrText xml:space="preserve"> HYPERLINK \l "_Toc22243" </w:instrText>
      </w:r>
      <w:r>
        <w:fldChar w:fldCharType="separate"/>
      </w:r>
      <w:r>
        <w:rPr>
          <w:rFonts w:ascii="黑体" w:eastAsia="黑体"/>
        </w:rPr>
        <w:t xml:space="preserve">3 </w:t>
      </w:r>
      <w:r>
        <w:rPr>
          <w:rFonts w:hint="eastAsia"/>
        </w:rPr>
        <w:t>术语和定义</w:t>
      </w:r>
      <w:r>
        <w:tab/>
      </w:r>
      <w:r>
        <w:fldChar w:fldCharType="begin"/>
      </w:r>
      <w:r>
        <w:instrText xml:space="preserve"> PAGEREF _Toc22243 \h </w:instrText>
      </w:r>
      <w:r>
        <w:fldChar w:fldCharType="separate"/>
      </w:r>
      <w:r>
        <w:t>1</w:t>
      </w:r>
      <w:r>
        <w:fldChar w:fldCharType="end"/>
      </w:r>
      <w:r>
        <w:fldChar w:fldCharType="end"/>
      </w:r>
    </w:p>
    <w:p w14:paraId="53BE933F">
      <w:pPr>
        <w:pStyle w:val="6"/>
        <w:tabs>
          <w:tab w:val="right" w:leader="dot" w:pos="9354"/>
          <w:tab w:val="clear" w:pos="9241"/>
        </w:tabs>
        <w:spacing w:before="78" w:after="78"/>
      </w:pPr>
      <w:r>
        <w:fldChar w:fldCharType="begin"/>
      </w:r>
      <w:r>
        <w:instrText xml:space="preserve"> HYPERLINK \l "_Toc1996" </w:instrText>
      </w:r>
      <w:r>
        <w:fldChar w:fldCharType="separate"/>
      </w:r>
      <w:r>
        <w:rPr>
          <w:rFonts w:ascii="黑体" w:eastAsia="黑体"/>
        </w:rPr>
        <w:t xml:space="preserve">4 </w:t>
      </w:r>
      <w:r>
        <w:rPr>
          <w:rFonts w:hint="eastAsia"/>
        </w:rPr>
        <w:t>基本要求</w:t>
      </w:r>
      <w:r>
        <w:tab/>
      </w:r>
      <w:r>
        <w:fldChar w:fldCharType="begin"/>
      </w:r>
      <w:r>
        <w:instrText xml:space="preserve"> PAGEREF _Toc1996 \h </w:instrText>
      </w:r>
      <w:r>
        <w:fldChar w:fldCharType="separate"/>
      </w:r>
      <w:r>
        <w:t>2</w:t>
      </w:r>
      <w:r>
        <w:fldChar w:fldCharType="end"/>
      </w:r>
      <w:r>
        <w:fldChar w:fldCharType="end"/>
      </w:r>
    </w:p>
    <w:p w14:paraId="576F45C5">
      <w:pPr>
        <w:pStyle w:val="6"/>
        <w:tabs>
          <w:tab w:val="right" w:leader="dot" w:pos="9354"/>
          <w:tab w:val="clear" w:pos="9241"/>
        </w:tabs>
        <w:spacing w:before="78" w:after="78"/>
      </w:pPr>
      <w:r>
        <w:fldChar w:fldCharType="begin"/>
      </w:r>
      <w:r>
        <w:instrText xml:space="preserve"> HYPERLINK \l "_Toc8102" </w:instrText>
      </w:r>
      <w:r>
        <w:fldChar w:fldCharType="separate"/>
      </w:r>
      <w:r>
        <w:rPr>
          <w:rFonts w:hint="eastAsia" w:ascii="黑体" w:eastAsia="黑体"/>
        </w:rPr>
        <w:t xml:space="preserve">5 </w:t>
      </w:r>
      <w:r>
        <w:rPr>
          <w:rFonts w:hint="eastAsia"/>
        </w:rPr>
        <w:t>评价指标</w:t>
      </w:r>
      <w:r>
        <w:tab/>
      </w:r>
      <w:r>
        <w:fldChar w:fldCharType="begin"/>
      </w:r>
      <w:r>
        <w:instrText xml:space="preserve"> PAGEREF _Toc8102 \h </w:instrText>
      </w:r>
      <w:r>
        <w:fldChar w:fldCharType="separate"/>
      </w:r>
      <w:r>
        <w:t>2</w:t>
      </w:r>
      <w:r>
        <w:fldChar w:fldCharType="end"/>
      </w:r>
      <w:r>
        <w:fldChar w:fldCharType="end"/>
      </w:r>
    </w:p>
    <w:p w14:paraId="28E0B441">
      <w:pPr>
        <w:pStyle w:val="6"/>
        <w:spacing w:before="78" w:after="78"/>
        <w:rPr>
          <w:rFonts w:hint="default" w:eastAsia="宋体"/>
          <w:lang w:val="en-US" w:eastAsia="zh-CN"/>
        </w:rPr>
      </w:pPr>
      <w:r>
        <w:fldChar w:fldCharType="end"/>
      </w:r>
    </w:p>
    <w:p w14:paraId="5F9FB47E">
      <w:pPr>
        <w:pStyle w:val="17"/>
      </w:pPr>
      <w:bookmarkStart w:id="20" w:name="_Toc3928"/>
      <w:r>
        <w:rPr>
          <w:rFonts w:hint="eastAsia"/>
        </w:rPr>
        <w:t>前</w:t>
      </w:r>
      <w:bookmarkStart w:id="21" w:name="BKQY"/>
      <w:r>
        <w:rPr>
          <w:rFonts w:hint="eastAsia" w:hAnsi="黑体"/>
        </w:rPr>
        <w:t>  </w:t>
      </w:r>
      <w:r>
        <w:rPr>
          <w:rFonts w:hint="eastAsia"/>
        </w:rPr>
        <w:t>言</w:t>
      </w:r>
      <w:bookmarkEnd w:id="18"/>
      <w:bookmarkEnd w:id="20"/>
      <w:bookmarkEnd w:id="21"/>
    </w:p>
    <w:p w14:paraId="1420BF85">
      <w:pPr>
        <w:pStyle w:val="14"/>
        <w:rPr>
          <w:rFonts w:ascii="Times New Roman"/>
        </w:rPr>
      </w:pPr>
      <w:r>
        <w:rPr>
          <w:rFonts w:hint="eastAsia" w:ascii="Times New Roman"/>
        </w:rPr>
        <w:t>本文件按照 GB/T 1.1—2020《标准化工作导则 第 1 部分：标准化文件的结构和起草规则》的规定起草。</w:t>
      </w:r>
    </w:p>
    <w:p w14:paraId="0B388290">
      <w:pPr>
        <w:pStyle w:val="14"/>
        <w:rPr>
          <w:rFonts w:ascii="Times New Roman"/>
        </w:rPr>
      </w:pPr>
      <w:r>
        <w:rPr>
          <w:rFonts w:hint="eastAsia" w:ascii="Times New Roman"/>
        </w:rPr>
        <w:t>请注意本文件的某些内容可能涉及专利。本文件的发布机构不承担识别专利的责任。</w:t>
      </w:r>
    </w:p>
    <w:p w14:paraId="1ACD09CC">
      <w:pPr>
        <w:pStyle w:val="14"/>
        <w:rPr>
          <w:rFonts w:ascii="Times New Roman"/>
        </w:rPr>
      </w:pPr>
      <w:r>
        <w:rPr>
          <w:rFonts w:hint="eastAsia" w:ascii="Times New Roman"/>
        </w:rPr>
        <w:t>本文件由</w:t>
      </w:r>
      <w:bookmarkStart w:id="22" w:name="_Hlk179923150"/>
      <w:r>
        <w:rPr>
          <w:rFonts w:hint="eastAsia" w:ascii="Times New Roman"/>
        </w:rPr>
        <w:t>江西绿色生态品牌建设促进会提出并归口</w:t>
      </w:r>
      <w:bookmarkEnd w:id="22"/>
      <w:r>
        <w:rPr>
          <w:rFonts w:hint="eastAsia" w:ascii="Times New Roman"/>
        </w:rPr>
        <w:t>。</w:t>
      </w:r>
    </w:p>
    <w:p w14:paraId="1B149AE6">
      <w:pPr>
        <w:pStyle w:val="14"/>
        <w:rPr>
          <w:rFonts w:ascii="Times New Roman"/>
        </w:rPr>
      </w:pPr>
      <w:bookmarkStart w:id="23" w:name="_Hlk179955273"/>
      <w:r>
        <w:rPr>
          <w:rFonts w:hint="eastAsia" w:ascii="Times New Roman"/>
        </w:rPr>
        <w:t>本文件起草单位：新干县中药材事业发展中心、江西省林业科学院、吉安市农业农村产业发展服务中心、江西省林业科技推广和宣传教育中心、铜鼓县林业局、峡江县农业农村局、崇义县林业技术推广中心、新干县赣枳中药材有限公司、江西玉峡药业有限公司、赣州道正生态农业发展有限公司、九江市凰山守正中药材开发有限公司。</w:t>
      </w:r>
    </w:p>
    <w:p w14:paraId="143E3E86">
      <w:pPr>
        <w:pStyle w:val="14"/>
        <w:rPr>
          <w:rFonts w:ascii="Times New Roman"/>
        </w:rPr>
      </w:pPr>
      <w:r>
        <w:rPr>
          <w:rFonts w:hint="eastAsia" w:ascii="Times New Roman"/>
        </w:rPr>
        <w:t>本文件主要起草人：樊秀兰、刘国庆、黄文超、钟东洋、王建皓、龙小平、黄丽莉、朱灵芝、廖和平、滕琳艳、黄祝春、彭逸珍、龚远洪、唐均成、曾日辉、廖子依、王辉辉、袁美玲、刘志强、胡玉萍、袁小勇、谢安杰、宋雯静、李勇星、朱定宾、朱纪洲、蔡锦芳、许鹏、李琪、彭欢。</w:t>
      </w:r>
      <w:bookmarkEnd w:id="23"/>
    </w:p>
    <w:p w14:paraId="561D2516">
      <w:pPr>
        <w:rPr>
          <w:rFonts w:ascii="Times New Roman"/>
        </w:rPr>
      </w:pPr>
      <w:r>
        <w:rPr>
          <w:rFonts w:hint="eastAsia" w:ascii="Times New Roman"/>
        </w:rPr>
        <w:br w:type="page"/>
      </w:r>
    </w:p>
    <w:p w14:paraId="33AA1244">
      <w:pPr>
        <w:pStyle w:val="17"/>
      </w:pPr>
      <w:bookmarkStart w:id="24" w:name="_Toc10246"/>
      <w:bookmarkStart w:id="25" w:name="_Toc23064"/>
      <w:bookmarkStart w:id="26" w:name="_Toc27571"/>
      <w:bookmarkStart w:id="27" w:name="_Toc14287"/>
      <w:r>
        <w:rPr>
          <w:rFonts w:hint="eastAsia"/>
        </w:rPr>
        <w:t>引  言</w:t>
      </w:r>
      <w:bookmarkEnd w:id="24"/>
      <w:bookmarkEnd w:id="25"/>
      <w:bookmarkEnd w:id="26"/>
      <w:bookmarkEnd w:id="27"/>
    </w:p>
    <w:p w14:paraId="78ED9097">
      <w:pPr>
        <w:widowControl/>
        <w:tabs>
          <w:tab w:val="center" w:pos="4201"/>
          <w:tab w:val="right" w:leader="dot" w:pos="9298"/>
        </w:tabs>
        <w:autoSpaceDE w:val="0"/>
        <w:autoSpaceDN w:val="0"/>
        <w:ind w:firstLine="420" w:firstLineChars="200"/>
        <w:rPr>
          <w:rFonts w:ascii="宋体" w:hAnsi="Times New Roman" w:eastAsia="宋体" w:cs="Times New Roman"/>
        </w:rPr>
      </w:pPr>
      <w:r>
        <w:rPr>
          <w:rFonts w:hint="eastAsia" w:ascii="宋体" w:hAnsi="Times New Roman" w:eastAsia="宋体" w:cs="Times New Roman"/>
        </w:rPr>
        <w:t>“江西绿色生态 黄精”指标水平说明：</w:t>
      </w:r>
    </w:p>
    <w:p w14:paraId="56E24F4A">
      <w:pPr>
        <w:ind w:firstLine="420" w:firstLineChars="200"/>
        <w:rPr>
          <w:rFonts w:ascii="Times New Roman" w:hAnsi="Times New Roman" w:eastAsia="宋体" w:cs="Times New Roman"/>
          <w:szCs w:val="24"/>
        </w:rPr>
      </w:pPr>
      <w:r>
        <w:rPr>
          <w:rFonts w:ascii="Times New Roman" w:hAnsi="Times New Roman" w:eastAsia="宋体" w:cs="Times New Roman"/>
          <w:szCs w:val="24"/>
        </w:rPr>
        <w:t>——</w:t>
      </w:r>
      <w:r>
        <w:rPr>
          <w:rFonts w:hint="eastAsia" w:ascii="Times New Roman" w:hAnsi="Times New Roman" w:eastAsia="宋体" w:cs="Times New Roman"/>
          <w:szCs w:val="24"/>
        </w:rPr>
        <w:t>“浸出物</w:t>
      </w:r>
      <w:r>
        <w:rPr>
          <w:rFonts w:hint="eastAsia" w:ascii="宋体" w:hAnsi="宋体" w:eastAsia="宋体" w:cs="宋体"/>
          <w:szCs w:val="24"/>
        </w:rPr>
        <w:t>≥</w:t>
      </w:r>
      <w:r>
        <w:rPr>
          <w:rFonts w:hint="eastAsia" w:ascii="Times New Roman" w:hAnsi="Times New Roman" w:eastAsia="宋体" w:cs="Times New Roman"/>
          <w:szCs w:val="24"/>
        </w:rPr>
        <w:t>50</w:t>
      </w:r>
      <w:r>
        <w:rPr>
          <w:rFonts w:ascii="Times New Roman" w:hAnsi="Times New Roman" w:eastAsia="宋体" w:cs="Times New Roman"/>
          <w:szCs w:val="24"/>
        </w:rPr>
        <w:t>.</w:t>
      </w:r>
      <w:r>
        <w:rPr>
          <w:rFonts w:hint="eastAsia" w:ascii="Times New Roman" w:hAnsi="Times New Roman" w:eastAsia="宋体" w:cs="Times New Roman"/>
          <w:szCs w:val="24"/>
        </w:rPr>
        <w:t>0</w:t>
      </w:r>
      <w:r>
        <w:rPr>
          <w:rFonts w:ascii="Times New Roman" w:hAnsi="Times New Roman" w:eastAsia="宋体" w:cs="Times New Roman"/>
          <w:szCs w:val="24"/>
        </w:rPr>
        <w:t xml:space="preserve"> </w:t>
      </w:r>
      <w:r>
        <w:rPr>
          <w:rFonts w:hint="eastAsia" w:ascii="Times New Roman" w:hAnsi="Times New Roman" w:eastAsia="宋体" w:cs="Times New Roman"/>
          <w:szCs w:val="24"/>
        </w:rPr>
        <w:t>%”</w:t>
      </w:r>
      <w:r>
        <w:rPr>
          <w:rFonts w:ascii="Times New Roman" w:hAnsi="Times New Roman" w:eastAsia="宋体" w:cs="Times New Roman"/>
          <w:szCs w:val="24"/>
        </w:rPr>
        <w:t>严于</w:t>
      </w:r>
      <w:r>
        <w:rPr>
          <w:rFonts w:hint="eastAsia" w:ascii="Times New Roman"/>
        </w:rPr>
        <w:t>《中华人民共和国药典》</w:t>
      </w:r>
      <w:r>
        <w:rPr>
          <w:rFonts w:ascii="Times New Roman"/>
        </w:rPr>
        <w:t>(2020</w:t>
      </w:r>
      <w:r>
        <w:rPr>
          <w:rFonts w:hint="eastAsia" w:ascii="Times New Roman"/>
        </w:rPr>
        <w:t>版一部</w:t>
      </w:r>
      <w:r>
        <w:rPr>
          <w:rFonts w:ascii="Times New Roman"/>
        </w:rPr>
        <w:t>)</w:t>
      </w:r>
      <w:r>
        <w:rPr>
          <w:rFonts w:hint="eastAsia" w:ascii="Times New Roman"/>
        </w:rPr>
        <w:t>“黄精”药材标准</w:t>
      </w:r>
      <w:r>
        <w:rPr>
          <w:rFonts w:ascii="Times New Roman" w:hAnsi="Times New Roman" w:eastAsia="宋体" w:cs="Times New Roman"/>
          <w:szCs w:val="24"/>
        </w:rPr>
        <w:t>规定的</w:t>
      </w:r>
      <w:r>
        <w:rPr>
          <w:rFonts w:hint="eastAsia" w:ascii="Times New Roman" w:hAnsi="Times New Roman" w:eastAsia="宋体" w:cs="Times New Roman"/>
          <w:szCs w:val="24"/>
        </w:rPr>
        <w:t>“浸出物</w:t>
      </w:r>
      <w:r>
        <w:rPr>
          <w:rFonts w:hint="eastAsia" w:ascii="宋体" w:hAnsi="宋体" w:eastAsia="宋体" w:cs="宋体"/>
          <w:szCs w:val="24"/>
        </w:rPr>
        <w:t>≥</w:t>
      </w:r>
      <w:r>
        <w:rPr>
          <w:rFonts w:hint="eastAsia" w:ascii="Times New Roman" w:hAnsi="Times New Roman" w:eastAsia="宋体" w:cs="Times New Roman"/>
          <w:szCs w:val="24"/>
        </w:rPr>
        <w:t>45</w:t>
      </w:r>
      <w:r>
        <w:rPr>
          <w:rFonts w:ascii="Times New Roman" w:hAnsi="Times New Roman" w:eastAsia="宋体" w:cs="Times New Roman"/>
          <w:szCs w:val="24"/>
        </w:rPr>
        <w:t>.</w:t>
      </w:r>
      <w:r>
        <w:rPr>
          <w:rFonts w:hint="eastAsia" w:ascii="Times New Roman" w:hAnsi="Times New Roman" w:eastAsia="宋体" w:cs="Times New Roman"/>
          <w:szCs w:val="24"/>
        </w:rPr>
        <w:t>0</w:t>
      </w:r>
      <w:r>
        <w:rPr>
          <w:rFonts w:ascii="Times New Roman" w:hAnsi="Times New Roman" w:eastAsia="宋体" w:cs="Times New Roman"/>
          <w:szCs w:val="24"/>
        </w:rPr>
        <w:t xml:space="preserve"> </w:t>
      </w:r>
      <w:r>
        <w:rPr>
          <w:rFonts w:hint="eastAsia" w:ascii="Times New Roman" w:hAnsi="Times New Roman" w:eastAsia="宋体" w:cs="Times New Roman"/>
          <w:szCs w:val="24"/>
        </w:rPr>
        <w:t>%”。</w:t>
      </w:r>
    </w:p>
    <w:p w14:paraId="003DA4EC">
      <w:pPr>
        <w:ind w:firstLine="420" w:firstLineChars="200"/>
        <w:rPr>
          <w:rFonts w:ascii="Times New Roman" w:hAnsi="Times New Roman" w:eastAsia="宋体" w:cs="Times New Roman"/>
          <w:color w:val="000000"/>
          <w:szCs w:val="24"/>
        </w:rPr>
      </w:pPr>
      <w:r>
        <w:rPr>
          <w:rFonts w:ascii="Times New Roman" w:hAnsi="Times New Roman" w:eastAsia="宋体" w:cs="Times New Roman"/>
          <w:szCs w:val="24"/>
        </w:rPr>
        <w:t>——</w:t>
      </w:r>
      <w:r>
        <w:rPr>
          <w:rFonts w:hint="eastAsia" w:ascii="Times New Roman" w:hAnsi="Times New Roman" w:eastAsia="宋体" w:cs="Times New Roman"/>
          <w:szCs w:val="24"/>
        </w:rPr>
        <w:t>“多糖</w:t>
      </w:r>
      <w:r>
        <w:rPr>
          <w:rFonts w:hint="eastAsia" w:ascii="宋体" w:hAnsi="宋体" w:eastAsia="宋体" w:cs="宋体"/>
          <w:szCs w:val="24"/>
        </w:rPr>
        <w:t>≥</w:t>
      </w:r>
      <w:r>
        <w:rPr>
          <w:rFonts w:hint="eastAsia" w:ascii="Times New Roman" w:hAnsi="Times New Roman" w:eastAsia="宋体" w:cs="Times New Roman"/>
          <w:szCs w:val="24"/>
        </w:rPr>
        <w:t>7.3</w:t>
      </w:r>
      <w:r>
        <w:rPr>
          <w:rFonts w:ascii="Times New Roman" w:hAnsi="Times New Roman" w:eastAsia="宋体" w:cs="Times New Roman"/>
          <w:szCs w:val="24"/>
        </w:rPr>
        <w:t xml:space="preserve"> </w:t>
      </w:r>
      <w:r>
        <w:rPr>
          <w:rFonts w:hint="eastAsia" w:ascii="Times New Roman" w:hAnsi="Times New Roman" w:eastAsia="宋体" w:cs="Times New Roman"/>
          <w:szCs w:val="24"/>
        </w:rPr>
        <w:t>%”</w:t>
      </w:r>
      <w:r>
        <w:rPr>
          <w:rFonts w:ascii="Times New Roman" w:hAnsi="Times New Roman" w:eastAsia="宋体" w:cs="Times New Roman"/>
          <w:szCs w:val="24"/>
        </w:rPr>
        <w:t>严于</w:t>
      </w:r>
      <w:r>
        <w:rPr>
          <w:rFonts w:hint="eastAsia" w:ascii="Times New Roman"/>
        </w:rPr>
        <w:t>《中华人民共和国药典》</w:t>
      </w:r>
      <w:r>
        <w:rPr>
          <w:rFonts w:ascii="Times New Roman"/>
        </w:rPr>
        <w:t>(2020</w:t>
      </w:r>
      <w:r>
        <w:rPr>
          <w:rFonts w:hint="eastAsia" w:ascii="Times New Roman"/>
        </w:rPr>
        <w:t>版一部</w:t>
      </w:r>
      <w:r>
        <w:rPr>
          <w:rFonts w:ascii="Times New Roman"/>
        </w:rPr>
        <w:t>)</w:t>
      </w:r>
      <w:r>
        <w:rPr>
          <w:rFonts w:hint="eastAsia" w:ascii="Times New Roman"/>
        </w:rPr>
        <w:t>“黄精”药材标准</w:t>
      </w:r>
      <w:r>
        <w:rPr>
          <w:rFonts w:ascii="Times New Roman" w:hAnsi="Times New Roman" w:eastAsia="宋体" w:cs="Times New Roman"/>
          <w:szCs w:val="24"/>
        </w:rPr>
        <w:t>规定的</w:t>
      </w:r>
      <w:r>
        <w:rPr>
          <w:rFonts w:hint="eastAsia" w:ascii="Times New Roman" w:hAnsi="Times New Roman" w:eastAsia="宋体" w:cs="Times New Roman"/>
          <w:szCs w:val="24"/>
        </w:rPr>
        <w:t>“多糖</w:t>
      </w:r>
      <w:r>
        <w:rPr>
          <w:rFonts w:hint="eastAsia" w:ascii="宋体" w:hAnsi="宋体" w:eastAsia="宋体" w:cs="宋体"/>
          <w:szCs w:val="24"/>
        </w:rPr>
        <w:t>≥</w:t>
      </w:r>
      <w:r>
        <w:rPr>
          <w:rFonts w:hint="eastAsia" w:ascii="Times New Roman" w:hAnsi="Times New Roman" w:eastAsia="宋体" w:cs="Times New Roman"/>
          <w:szCs w:val="24"/>
        </w:rPr>
        <w:t>7.0</w:t>
      </w:r>
      <w:r>
        <w:rPr>
          <w:rFonts w:ascii="Times New Roman" w:hAnsi="Times New Roman" w:eastAsia="宋体" w:cs="Times New Roman"/>
          <w:szCs w:val="24"/>
        </w:rPr>
        <w:t xml:space="preserve"> </w:t>
      </w:r>
      <w:r>
        <w:rPr>
          <w:rFonts w:hint="eastAsia" w:ascii="Times New Roman" w:hAnsi="Times New Roman" w:eastAsia="宋体" w:cs="Times New Roman"/>
          <w:szCs w:val="24"/>
        </w:rPr>
        <w:t>%”</w:t>
      </w:r>
      <w:r>
        <w:rPr>
          <w:rFonts w:ascii="Times New Roman" w:hAnsi="Times New Roman" w:eastAsia="宋体" w:cs="Times New Roman"/>
          <w:color w:val="000000"/>
          <w:szCs w:val="24"/>
        </w:rPr>
        <w:t>。</w:t>
      </w:r>
    </w:p>
    <w:p w14:paraId="705FC047">
      <w:pPr>
        <w:widowControl/>
        <w:tabs>
          <w:tab w:val="center" w:pos="4201"/>
          <w:tab w:val="right" w:leader="dot" w:pos="9298"/>
        </w:tabs>
        <w:autoSpaceDE w:val="0"/>
        <w:autoSpaceDN w:val="0"/>
        <w:ind w:firstLine="420" w:firstLineChars="200"/>
        <w:rPr>
          <w:rFonts w:ascii="Times New Roman"/>
        </w:rPr>
      </w:pPr>
      <w:r>
        <w:rPr>
          <w:rFonts w:ascii="Times New Roman" w:hAnsi="Times New Roman" w:eastAsia="宋体" w:cs="Times New Roman"/>
          <w:szCs w:val="24"/>
        </w:rPr>
        <w:t>——</w:t>
      </w:r>
      <w:r>
        <w:rPr>
          <w:rFonts w:ascii="Times New Roman"/>
        </w:rPr>
        <w:t>与</w:t>
      </w:r>
      <w:r>
        <w:rPr>
          <w:rFonts w:hint="eastAsia" w:ascii="Times New Roman"/>
        </w:rPr>
        <w:t>《中华人民共和国药典》(2020版一部)“黄精”药材标准</w:t>
      </w:r>
      <w:r>
        <w:rPr>
          <w:rFonts w:ascii="Times New Roman"/>
        </w:rPr>
        <w:t>相比，增加了</w:t>
      </w:r>
      <w:r>
        <w:rPr>
          <w:rFonts w:hint="eastAsia" w:ascii="Times New Roman"/>
        </w:rPr>
        <w:t>“重金属总量≤20 mg/kg”要求。</w:t>
      </w:r>
    </w:p>
    <w:p w14:paraId="1AB523BD">
      <w:pPr>
        <w:pStyle w:val="17"/>
        <w:jc w:val="both"/>
        <w:rPr>
          <w:rFonts w:ascii="Times New Roman" w:hAnsiTheme="minorHAnsi" w:eastAsiaTheme="minorEastAsia" w:cstheme="minorBidi"/>
          <w:kern w:val="2"/>
          <w:sz w:val="21"/>
          <w:szCs w:val="22"/>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14:paraId="42DFDCA7">
      <w:pPr>
        <w:pStyle w:val="20"/>
      </w:pPr>
      <w:r>
        <w:rPr>
          <w:rFonts w:hint="eastAsia"/>
        </w:rPr>
        <w:t>江</w:t>
      </w:r>
      <w:bookmarkStart w:id="28" w:name="StandardName"/>
      <w:r>
        <w:rPr>
          <w:rFonts w:hint="eastAsia"/>
        </w:rPr>
        <w:t>西绿色生态</w:t>
      </w:r>
      <w:r>
        <w:t xml:space="preserve"> </w:t>
      </w:r>
      <w:r>
        <w:rPr>
          <w:rFonts w:hint="eastAsia"/>
        </w:rPr>
        <w:t>黄精</w:t>
      </w:r>
      <w:bookmarkEnd w:id="28"/>
    </w:p>
    <w:p w14:paraId="33ABC958">
      <w:pPr>
        <w:pStyle w:val="27"/>
        <w:numPr>
          <w:ilvl w:val="0"/>
          <w:numId w:val="1"/>
        </w:numPr>
        <w:spacing w:before="312" w:after="312"/>
      </w:pPr>
      <w:bookmarkStart w:id="29" w:name="_Toc29677"/>
      <w:bookmarkStart w:id="30" w:name="_Toc88652602"/>
      <w:bookmarkStart w:id="31" w:name="_Toc88653176"/>
      <w:r>
        <w:rPr>
          <w:rFonts w:hint="eastAsia"/>
        </w:rPr>
        <w:t>范围</w:t>
      </w:r>
      <w:bookmarkEnd w:id="29"/>
      <w:bookmarkEnd w:id="30"/>
      <w:bookmarkEnd w:id="31"/>
    </w:p>
    <w:p w14:paraId="2C87E1A5">
      <w:pPr>
        <w:pStyle w:val="14"/>
      </w:pPr>
      <w:r>
        <w:rPr>
          <w:rFonts w:hint="eastAsia"/>
        </w:rPr>
        <w:t>本文件规定了“江西绿色生态 黄精”品牌认证的术语和定义、基本要求、评价指标等内容。</w:t>
      </w:r>
    </w:p>
    <w:p w14:paraId="449EEE4C">
      <w:pPr>
        <w:pStyle w:val="14"/>
      </w:pPr>
      <w:r>
        <w:rPr>
          <w:rFonts w:hint="eastAsia"/>
        </w:rPr>
        <w:t>本文件适用于黄精产品申请“江西绿色生态”品牌认证活动。“江西绿色生态 黄精”产品的质量检测可参照本文件执行。</w:t>
      </w:r>
    </w:p>
    <w:p w14:paraId="530E8310">
      <w:pPr>
        <w:pStyle w:val="27"/>
        <w:numPr>
          <w:ilvl w:val="0"/>
          <w:numId w:val="1"/>
        </w:numPr>
        <w:spacing w:before="312" w:after="312"/>
      </w:pPr>
      <w:bookmarkStart w:id="32" w:name="_Toc88653177"/>
      <w:bookmarkStart w:id="33" w:name="_Toc88652603"/>
      <w:bookmarkStart w:id="34" w:name="_Toc31768"/>
      <w:r>
        <w:rPr>
          <w:rFonts w:hint="eastAsia"/>
        </w:rPr>
        <w:t>规范性引用文件</w:t>
      </w:r>
      <w:bookmarkEnd w:id="32"/>
      <w:bookmarkEnd w:id="33"/>
      <w:bookmarkEnd w:id="34"/>
    </w:p>
    <w:p w14:paraId="137C9751">
      <w:pPr>
        <w:pStyle w:val="14"/>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40749F7">
      <w:pPr>
        <w:pStyle w:val="14"/>
        <w:rPr>
          <w:rFonts w:ascii="Times New Roman"/>
        </w:rPr>
      </w:pPr>
      <w:r>
        <w:rPr>
          <w:rFonts w:ascii="Times New Roman"/>
        </w:rPr>
        <w:t xml:space="preserve">GB 3095 </w:t>
      </w:r>
      <w:r>
        <w:rPr>
          <w:rFonts w:hint="eastAsia" w:ascii="Times New Roman"/>
        </w:rPr>
        <w:t>环境空气质量标准</w:t>
      </w:r>
    </w:p>
    <w:p w14:paraId="38DA1B0D">
      <w:pPr>
        <w:pStyle w:val="14"/>
        <w:rPr>
          <w:rFonts w:ascii="Times New Roman"/>
          <w:color w:val="000000" w:themeColor="text1"/>
        </w:rPr>
      </w:pPr>
      <w:r>
        <w:rPr>
          <w:rFonts w:hint="eastAsia" w:ascii="Times New Roman"/>
          <w:color w:val="000000" w:themeColor="text1"/>
        </w:rPr>
        <w:t>GB 5009.3  食品安全国家标准 食品中水分的测定</w:t>
      </w:r>
    </w:p>
    <w:p w14:paraId="5B5FD75B">
      <w:pPr>
        <w:pStyle w:val="14"/>
        <w:rPr>
          <w:rFonts w:ascii="Times New Roman"/>
          <w:color w:val="000000" w:themeColor="text1"/>
        </w:rPr>
      </w:pPr>
      <w:r>
        <w:rPr>
          <w:rFonts w:hint="eastAsia" w:ascii="Times New Roman"/>
          <w:color w:val="000000" w:themeColor="text1"/>
        </w:rPr>
        <w:t>GB 5009.4  食品安全国家标准 食品中灰分的测定</w:t>
      </w:r>
    </w:p>
    <w:p w14:paraId="4C2765E4">
      <w:pPr>
        <w:pStyle w:val="14"/>
        <w:rPr>
          <w:rFonts w:ascii="Times New Roman"/>
        </w:rPr>
      </w:pPr>
      <w:r>
        <w:rPr>
          <w:rFonts w:ascii="Times New Roman"/>
        </w:rPr>
        <w:t xml:space="preserve">GB 5084 </w:t>
      </w:r>
      <w:r>
        <w:rPr>
          <w:rFonts w:hint="eastAsia" w:ascii="Times New Roman"/>
        </w:rPr>
        <w:t>农田灌溉水质标准</w:t>
      </w:r>
    </w:p>
    <w:p w14:paraId="4529309A">
      <w:pPr>
        <w:pStyle w:val="14"/>
        <w:rPr>
          <w:rFonts w:ascii="Times New Roman"/>
        </w:rPr>
      </w:pPr>
      <w:r>
        <w:rPr>
          <w:rFonts w:hint="eastAsia" w:ascii="Times New Roman"/>
        </w:rPr>
        <w:t xml:space="preserve">GB 5749  </w:t>
      </w:r>
      <w:r>
        <w:rPr>
          <w:rFonts w:hAnsi="宋体"/>
        </w:rPr>
        <w:t>生活饮用水卫生标准</w:t>
      </w:r>
    </w:p>
    <w:p w14:paraId="4CF82D6B">
      <w:pPr>
        <w:pStyle w:val="14"/>
        <w:rPr>
          <w:rFonts w:ascii="Times New Roman"/>
        </w:rPr>
      </w:pPr>
      <w:r>
        <w:rPr>
          <w:rFonts w:hint="eastAsia" w:ascii="Times New Roman"/>
        </w:rPr>
        <w:t>GB 15618 土壤环境质量 农用地土壤污染风险管控标准（试行）</w:t>
      </w:r>
    </w:p>
    <w:p w14:paraId="37E7329B">
      <w:pPr>
        <w:pStyle w:val="14"/>
        <w:rPr>
          <w:rFonts w:ascii="Times New Roman"/>
        </w:rPr>
      </w:pPr>
      <w:r>
        <w:rPr>
          <w:rFonts w:ascii="Times New Roman"/>
        </w:rPr>
        <w:t xml:space="preserve">GB/T 34805 </w:t>
      </w:r>
      <w:r>
        <w:rPr>
          <w:rFonts w:hint="eastAsia" w:ascii="Times New Roman"/>
        </w:rPr>
        <w:t>农业废弃物综合利用</w:t>
      </w:r>
      <w:r>
        <w:rPr>
          <w:rFonts w:ascii="Times New Roman"/>
        </w:rPr>
        <w:t xml:space="preserve"> </w:t>
      </w:r>
      <w:r>
        <w:rPr>
          <w:rFonts w:hint="eastAsia" w:ascii="Times New Roman"/>
        </w:rPr>
        <w:t>通用要求</w:t>
      </w:r>
    </w:p>
    <w:p w14:paraId="118A6DF5">
      <w:pPr>
        <w:pStyle w:val="14"/>
        <w:rPr>
          <w:rFonts w:ascii="Times New Roman"/>
        </w:rPr>
      </w:pPr>
      <w:r>
        <w:rPr>
          <w:rFonts w:ascii="Times New Roman"/>
        </w:rPr>
        <w:t xml:space="preserve">NY/T 496 </w:t>
      </w:r>
      <w:r>
        <w:rPr>
          <w:rFonts w:hint="eastAsia" w:ascii="Times New Roman"/>
        </w:rPr>
        <w:t>肥料合理使用准则</w:t>
      </w:r>
      <w:r>
        <w:rPr>
          <w:rFonts w:ascii="Times New Roman"/>
        </w:rPr>
        <w:t xml:space="preserve"> </w:t>
      </w:r>
      <w:r>
        <w:rPr>
          <w:rFonts w:hint="eastAsia" w:ascii="Times New Roman"/>
        </w:rPr>
        <w:t>通则</w:t>
      </w:r>
    </w:p>
    <w:p w14:paraId="11E4345B">
      <w:pPr>
        <w:pStyle w:val="14"/>
        <w:rPr>
          <w:rFonts w:ascii="Times New Roman"/>
        </w:rPr>
      </w:pPr>
      <w:r>
        <w:rPr>
          <w:rFonts w:ascii="Times New Roman"/>
        </w:rPr>
        <w:t xml:space="preserve">NY 525 </w:t>
      </w:r>
      <w:r>
        <w:rPr>
          <w:rFonts w:hint="eastAsia" w:ascii="Times New Roman"/>
        </w:rPr>
        <w:t>有机肥料</w:t>
      </w:r>
    </w:p>
    <w:p w14:paraId="6031CD03">
      <w:pPr>
        <w:pStyle w:val="14"/>
        <w:rPr>
          <w:rFonts w:ascii="Times New Roman"/>
          <w:szCs w:val="21"/>
        </w:rPr>
      </w:pPr>
      <w:bookmarkStart w:id="35" w:name="OLE_LINK1"/>
      <w:bookmarkStart w:id="36" w:name="OLE_LINK2"/>
      <w:r>
        <w:rPr>
          <w:rFonts w:ascii="Times New Roman"/>
          <w:szCs w:val="21"/>
        </w:rPr>
        <w:t>NY/T 1276 农药安全使用规范总则</w:t>
      </w:r>
    </w:p>
    <w:bookmarkEnd w:id="35"/>
    <w:bookmarkEnd w:id="36"/>
    <w:p w14:paraId="41559A8B">
      <w:pPr>
        <w:pStyle w:val="14"/>
        <w:rPr>
          <w:rFonts w:ascii="Times New Roman"/>
        </w:rPr>
      </w:pPr>
      <w:r>
        <w:rPr>
          <w:rFonts w:ascii="Times New Roman"/>
        </w:rPr>
        <w:t xml:space="preserve">NY/T 3821.2 </w:t>
      </w:r>
      <w:r>
        <w:rPr>
          <w:rFonts w:hint="eastAsia" w:ascii="Times New Roman"/>
        </w:rPr>
        <w:t>农业面源污染综合防控技术规范</w:t>
      </w:r>
      <w:r>
        <w:rPr>
          <w:rFonts w:ascii="Times New Roman"/>
        </w:rPr>
        <w:t xml:space="preserve"> </w:t>
      </w:r>
    </w:p>
    <w:p w14:paraId="4322B346">
      <w:pPr>
        <w:pStyle w:val="14"/>
        <w:rPr>
          <w:rFonts w:ascii="Times New Roman"/>
        </w:rPr>
      </w:pPr>
      <w:r>
        <w:rPr>
          <w:rFonts w:ascii="Times New Roman"/>
        </w:rPr>
        <w:t xml:space="preserve">SB/T 11039 </w:t>
      </w:r>
      <w:r>
        <w:rPr>
          <w:rFonts w:hint="eastAsia" w:ascii="Times New Roman"/>
        </w:rPr>
        <w:t>中药材追溯通用标识规范</w:t>
      </w:r>
    </w:p>
    <w:p w14:paraId="58179667">
      <w:pPr>
        <w:pStyle w:val="14"/>
        <w:rPr>
          <w:rFonts w:ascii="Times New Roman"/>
        </w:rPr>
      </w:pPr>
      <w:r>
        <w:rPr>
          <w:rFonts w:ascii="Times New Roman"/>
        </w:rPr>
        <w:t xml:space="preserve">SB/T 11094 </w:t>
      </w:r>
      <w:r>
        <w:rPr>
          <w:rFonts w:hint="eastAsia" w:ascii="Times New Roman"/>
        </w:rPr>
        <w:t>中药材仓储管理规范</w:t>
      </w:r>
    </w:p>
    <w:p w14:paraId="0E6467A2">
      <w:pPr>
        <w:pStyle w:val="14"/>
        <w:rPr>
          <w:rFonts w:ascii="Times New Roman"/>
        </w:rPr>
      </w:pPr>
      <w:r>
        <w:rPr>
          <w:rFonts w:ascii="Times New Roman"/>
        </w:rPr>
        <w:t xml:space="preserve">SB/T 11095 </w:t>
      </w:r>
      <w:r>
        <w:rPr>
          <w:rFonts w:hint="eastAsia" w:ascii="Times New Roman"/>
        </w:rPr>
        <w:t>中药材仓库技术规范</w:t>
      </w:r>
    </w:p>
    <w:p w14:paraId="0D3A6780">
      <w:pPr>
        <w:pStyle w:val="14"/>
        <w:rPr>
          <w:rFonts w:ascii="Times New Roman"/>
        </w:rPr>
      </w:pPr>
      <w:r>
        <w:rPr>
          <w:rFonts w:ascii="Times New Roman"/>
        </w:rPr>
        <w:t xml:space="preserve">SB/T 11182 </w:t>
      </w:r>
      <w:r>
        <w:rPr>
          <w:rFonts w:hint="eastAsia" w:ascii="Times New Roman"/>
        </w:rPr>
        <w:t>中药材包装技术规范</w:t>
      </w:r>
    </w:p>
    <w:p w14:paraId="2B2A2DF2">
      <w:pPr>
        <w:pStyle w:val="14"/>
        <w:rPr>
          <w:rFonts w:ascii="Times New Roman"/>
        </w:rPr>
      </w:pPr>
      <w:r>
        <w:rPr>
          <w:rFonts w:ascii="Times New Roman"/>
        </w:rPr>
        <w:t xml:space="preserve">SB/T 11183 </w:t>
      </w:r>
      <w:r>
        <w:rPr>
          <w:rFonts w:hint="eastAsia" w:ascii="Times New Roman"/>
        </w:rPr>
        <w:t>中药材产地加工技术规范</w:t>
      </w:r>
    </w:p>
    <w:p w14:paraId="4C93CD70">
      <w:pPr>
        <w:pStyle w:val="14"/>
        <w:rPr>
          <w:rFonts w:ascii="Times New Roman"/>
        </w:rPr>
      </w:pPr>
      <w:r>
        <w:rPr>
          <w:rFonts w:ascii="Times New Roman"/>
        </w:rPr>
        <w:t xml:space="preserve">DB36/T 619 </w:t>
      </w:r>
      <w:r>
        <w:rPr>
          <w:rFonts w:hint="eastAsia" w:ascii="Times New Roman"/>
        </w:rPr>
        <w:t>江西省农业用水定额</w:t>
      </w:r>
    </w:p>
    <w:p w14:paraId="278586BD">
      <w:pPr>
        <w:pStyle w:val="14"/>
        <w:rPr>
          <w:rFonts w:ascii="Times New Roman"/>
        </w:rPr>
      </w:pPr>
      <w:r>
        <w:rPr>
          <w:rFonts w:ascii="Times New Roman"/>
        </w:rPr>
        <w:t>DB36/T 1138 “</w:t>
      </w:r>
      <w:r>
        <w:rPr>
          <w:rFonts w:hint="eastAsia" w:ascii="Times New Roman"/>
        </w:rPr>
        <w:t>江西绿色生态”品牌评价通用要求</w:t>
      </w:r>
    </w:p>
    <w:p w14:paraId="70B17DD4">
      <w:pPr>
        <w:pStyle w:val="14"/>
        <w:rPr>
          <w:rFonts w:ascii="Times New Roman"/>
        </w:rPr>
      </w:pPr>
      <w:r>
        <w:rPr>
          <w:rFonts w:ascii="Times New Roman"/>
        </w:rPr>
        <w:t xml:space="preserve">DB36T 1270 </w:t>
      </w:r>
      <w:r>
        <w:rPr>
          <w:rFonts w:hint="eastAsia" w:ascii="Times New Roman"/>
        </w:rPr>
        <w:t>多花黄精规范化种植技术规程</w:t>
      </w:r>
    </w:p>
    <w:p w14:paraId="7D64E3F4">
      <w:pPr>
        <w:pStyle w:val="14"/>
        <w:rPr>
          <w:rFonts w:ascii="Times New Roman"/>
        </w:rPr>
      </w:pPr>
      <w:r>
        <w:rPr>
          <w:rFonts w:hint="eastAsia" w:ascii="Times New Roman"/>
        </w:rPr>
        <w:t>中华人民共和国药典</w:t>
      </w:r>
      <w:r>
        <w:rPr>
          <w:rFonts w:ascii="Times New Roman"/>
        </w:rPr>
        <w:t xml:space="preserve"> (2020</w:t>
      </w:r>
      <w:r>
        <w:rPr>
          <w:rFonts w:hint="eastAsia" w:ascii="Times New Roman"/>
        </w:rPr>
        <w:t>版</w:t>
      </w:r>
      <w:r>
        <w:rPr>
          <w:rFonts w:ascii="Times New Roman"/>
        </w:rPr>
        <w:t xml:space="preserve"> </w:t>
      </w:r>
      <w:r>
        <w:rPr>
          <w:rFonts w:hint="eastAsia" w:ascii="Times New Roman"/>
        </w:rPr>
        <w:t>一部</w:t>
      </w:r>
      <w:r>
        <w:rPr>
          <w:rFonts w:ascii="Times New Roman"/>
        </w:rPr>
        <w:t xml:space="preserve">) </w:t>
      </w:r>
      <w:r>
        <w:rPr>
          <w:rFonts w:hint="eastAsia" w:ascii="Times New Roman"/>
        </w:rPr>
        <w:t>黄精</w:t>
      </w:r>
    </w:p>
    <w:p w14:paraId="3F11D234">
      <w:pPr>
        <w:pStyle w:val="14"/>
        <w:rPr>
          <w:rFonts w:ascii="Times New Roman"/>
        </w:rPr>
      </w:pPr>
      <w:r>
        <w:rPr>
          <w:rFonts w:hint="eastAsia" w:ascii="Times New Roman"/>
        </w:rPr>
        <w:t>中华人民共和国药典</w:t>
      </w:r>
      <w:r>
        <w:rPr>
          <w:rFonts w:ascii="Times New Roman"/>
        </w:rPr>
        <w:t xml:space="preserve"> (2020</w:t>
      </w:r>
      <w:r>
        <w:rPr>
          <w:rFonts w:hint="eastAsia" w:ascii="Times New Roman"/>
        </w:rPr>
        <w:t>版四部通则</w:t>
      </w:r>
      <w:r>
        <w:rPr>
          <w:rFonts w:ascii="Times New Roman"/>
        </w:rPr>
        <w:t xml:space="preserve">) </w:t>
      </w:r>
    </w:p>
    <w:p w14:paraId="4CC8EB90">
      <w:pPr>
        <w:pStyle w:val="14"/>
        <w:rPr>
          <w:rFonts w:ascii="Times New Roman"/>
        </w:rPr>
      </w:pPr>
      <w:r>
        <w:rPr>
          <w:rFonts w:hint="eastAsia" w:ascii="Times New Roman"/>
        </w:rPr>
        <w:t>中药材生产质量管理规范</w:t>
      </w:r>
      <w:r>
        <w:rPr>
          <w:rFonts w:ascii="Times New Roman"/>
        </w:rPr>
        <w:t>(</w:t>
      </w:r>
      <w:r>
        <w:rPr>
          <w:rFonts w:hint="eastAsia" w:ascii="Times New Roman"/>
        </w:rPr>
        <w:t>试行</w:t>
      </w:r>
      <w:r>
        <w:rPr>
          <w:rFonts w:ascii="Times New Roman"/>
        </w:rPr>
        <w:t>)(</w:t>
      </w:r>
      <w:r>
        <w:rPr>
          <w:rFonts w:hint="eastAsia" w:ascii="Times New Roman"/>
        </w:rPr>
        <w:t>国家药品监督管理局令</w:t>
      </w:r>
      <w:r>
        <w:rPr>
          <w:rFonts w:ascii="Times New Roman"/>
        </w:rPr>
        <w:t xml:space="preserve"> </w:t>
      </w:r>
      <w:r>
        <w:rPr>
          <w:rFonts w:hint="eastAsia" w:ascii="Times New Roman"/>
        </w:rPr>
        <w:t>第</w:t>
      </w:r>
      <w:r>
        <w:rPr>
          <w:rFonts w:ascii="Times New Roman"/>
        </w:rPr>
        <w:t>32</w:t>
      </w:r>
      <w:r>
        <w:rPr>
          <w:rFonts w:hint="eastAsia" w:ascii="Times New Roman"/>
        </w:rPr>
        <w:t>号</w:t>
      </w:r>
      <w:r>
        <w:rPr>
          <w:rFonts w:ascii="Times New Roman"/>
        </w:rPr>
        <w:t>)</w:t>
      </w:r>
    </w:p>
    <w:p w14:paraId="2D03E7C8">
      <w:pPr>
        <w:pStyle w:val="27"/>
        <w:numPr>
          <w:ilvl w:val="0"/>
          <w:numId w:val="1"/>
        </w:numPr>
        <w:spacing w:before="312" w:after="312"/>
      </w:pPr>
      <w:bookmarkStart w:id="37" w:name="_Toc88652604"/>
      <w:bookmarkEnd w:id="37"/>
      <w:bookmarkStart w:id="38" w:name="_Toc22243"/>
      <w:bookmarkStart w:id="39" w:name="_Toc88653178"/>
      <w:r>
        <w:rPr>
          <w:rFonts w:hint="eastAsia"/>
        </w:rPr>
        <w:t>术语和定义</w:t>
      </w:r>
      <w:bookmarkEnd w:id="38"/>
      <w:bookmarkEnd w:id="39"/>
    </w:p>
    <w:p w14:paraId="2A486FE5">
      <w:pPr>
        <w:pStyle w:val="14"/>
      </w:pPr>
      <w:r>
        <w:rPr>
          <w:rFonts w:hint="eastAsia"/>
        </w:rPr>
        <w:t>DB36/T 1138和DB36T 1270界定的以及下列术语和定义适用于本文件。</w:t>
      </w:r>
    </w:p>
    <w:p w14:paraId="084B0C52">
      <w:pPr>
        <w:pStyle w:val="28"/>
        <w:numPr>
          <w:ilvl w:val="1"/>
          <w:numId w:val="1"/>
        </w:numPr>
        <w:spacing w:before="156" w:after="156"/>
      </w:pPr>
      <w:bookmarkStart w:id="40" w:name="_Toc88653179"/>
    </w:p>
    <w:p w14:paraId="764593F0">
      <w:pPr>
        <w:pStyle w:val="28"/>
        <w:spacing w:before="156" w:after="156"/>
        <w:ind w:firstLine="420" w:firstLineChars="200"/>
      </w:pPr>
      <w:r>
        <w:rPr>
          <w:rFonts w:hint="eastAsia"/>
        </w:rPr>
        <w:t>“江西绿色生态”</w:t>
      </w:r>
      <w:r>
        <w:t xml:space="preserve"> </w:t>
      </w:r>
      <w:r>
        <w:rPr>
          <w:rFonts w:hint="eastAsia"/>
        </w:rPr>
        <w:t>黄精</w:t>
      </w:r>
      <w:r>
        <w:t xml:space="preserve"> Jiangxi Green Ecology Polygonati rhizome</w:t>
      </w:r>
      <w:bookmarkEnd w:id="40"/>
    </w:p>
    <w:p w14:paraId="7CE84FF0">
      <w:pPr>
        <w:pStyle w:val="14"/>
      </w:pPr>
      <w:r>
        <w:rPr>
          <w:rFonts w:hint="eastAsia"/>
        </w:rPr>
        <w:t>符合“江西绿色生态”品牌评价通用要求及本文件技术要求，并通过“江西绿色生态”品牌评价认证的黄精产品。</w:t>
      </w:r>
    </w:p>
    <w:p w14:paraId="705354E3">
      <w:pPr>
        <w:pStyle w:val="27"/>
        <w:numPr>
          <w:ilvl w:val="0"/>
          <w:numId w:val="1"/>
        </w:numPr>
        <w:spacing w:before="312" w:after="312"/>
      </w:pPr>
      <w:bookmarkStart w:id="41" w:name="_Toc88653180"/>
      <w:bookmarkStart w:id="42" w:name="_Toc1996"/>
      <w:r>
        <w:rPr>
          <w:rFonts w:hint="eastAsia"/>
        </w:rPr>
        <w:t>基本要求</w:t>
      </w:r>
      <w:bookmarkEnd w:id="41"/>
      <w:bookmarkEnd w:id="42"/>
    </w:p>
    <w:p w14:paraId="4C8A475F">
      <w:pPr>
        <w:pStyle w:val="28"/>
        <w:numPr>
          <w:ilvl w:val="1"/>
          <w:numId w:val="1"/>
        </w:numPr>
        <w:spacing w:before="156" w:after="156"/>
        <w:rPr>
          <w:rFonts w:ascii="宋体" w:hAnsi="宋体" w:eastAsia="宋体" w:cs="宋体"/>
        </w:rPr>
      </w:pPr>
      <w:r>
        <w:rPr>
          <w:rFonts w:hint="eastAsia" w:ascii="宋体" w:hAnsi="宋体" w:eastAsia="宋体" w:cs="宋体"/>
        </w:rPr>
        <w:t>品种应为百合科植物多花黄精</w:t>
      </w:r>
      <w:r>
        <w:rPr>
          <w:rFonts w:hint="eastAsia" w:ascii="宋体" w:hAnsi="宋体" w:eastAsia="宋体" w:cs="宋体"/>
          <w:i/>
          <w:iCs/>
        </w:rPr>
        <w:t>Polygonatum cyrtonema</w:t>
      </w:r>
      <w:r>
        <w:rPr>
          <w:rFonts w:hint="eastAsia" w:ascii="宋体" w:hAnsi="宋体" w:eastAsia="宋体" w:cs="宋体"/>
        </w:rPr>
        <w:t xml:space="preserve"> Hua.、大叶滇黄精Polygonatum. kingianum Coll. et Hemsl. var. grandifolium D. M. Liu et W. Z. Zeng。生产黄精药材其品种符合中华人民共和国药典 (2020版 一部)黄精项下规定。</w:t>
      </w:r>
    </w:p>
    <w:p w14:paraId="3307E904">
      <w:pPr>
        <w:pStyle w:val="28"/>
        <w:numPr>
          <w:ilvl w:val="1"/>
          <w:numId w:val="1"/>
        </w:numPr>
        <w:spacing w:before="156" w:after="156"/>
        <w:rPr>
          <w:rFonts w:ascii="宋体" w:hAnsi="宋体" w:eastAsia="宋体" w:cs="宋体"/>
        </w:rPr>
      </w:pPr>
      <w:r>
        <w:rPr>
          <w:rFonts w:hint="eastAsia" w:ascii="宋体" w:hAnsi="宋体" w:eastAsia="宋体" w:cs="宋体"/>
        </w:rPr>
        <w:t>产地环境空气质量应符合 GB 3095 二级要求，土壤符合GB 15618的二级要求，灌溉水符合 GB 5084的要求，加工用水符合GB 5749的要求。</w:t>
      </w:r>
    </w:p>
    <w:p w14:paraId="3ED28104">
      <w:pPr>
        <w:pStyle w:val="28"/>
        <w:numPr>
          <w:ilvl w:val="1"/>
          <w:numId w:val="1"/>
        </w:numPr>
        <w:spacing w:before="156" w:after="156"/>
        <w:rPr>
          <w:rFonts w:ascii="宋体" w:hAnsi="宋体" w:eastAsia="宋体" w:cs="宋体"/>
        </w:rPr>
      </w:pPr>
      <w:r>
        <w:rPr>
          <w:rFonts w:hint="eastAsia" w:ascii="宋体" w:hAnsi="宋体" w:eastAsia="宋体" w:cs="宋体"/>
        </w:rPr>
        <w:t xml:space="preserve">多花黄精生产栽培和产地初加工技术应符合 </w:t>
      </w:r>
      <w:bookmarkStart w:id="43" w:name="_Hlk89371975"/>
      <w:r>
        <w:rPr>
          <w:rFonts w:hint="eastAsia" w:ascii="宋体" w:hAnsi="宋体" w:eastAsia="宋体" w:cs="宋体"/>
        </w:rPr>
        <w:t>DB36/T 1270</w:t>
      </w:r>
      <w:bookmarkEnd w:id="43"/>
      <w:r>
        <w:rPr>
          <w:rFonts w:hint="eastAsia" w:ascii="宋体" w:hAnsi="宋体" w:eastAsia="宋体" w:cs="宋体"/>
        </w:rPr>
        <w:t xml:space="preserve"> 的要求；大叶黄精生产栽培和产地初加工参照DB36/T 1270执行。</w:t>
      </w:r>
    </w:p>
    <w:p w14:paraId="05E79318">
      <w:pPr>
        <w:pStyle w:val="28"/>
        <w:numPr>
          <w:ilvl w:val="1"/>
          <w:numId w:val="1"/>
        </w:numPr>
        <w:spacing w:before="156" w:after="156"/>
        <w:rPr>
          <w:rFonts w:ascii="宋体" w:hAnsi="宋体" w:eastAsia="宋体" w:cs="宋体"/>
        </w:rPr>
      </w:pPr>
      <w:r>
        <w:rPr>
          <w:rFonts w:hint="eastAsia" w:ascii="宋体" w:hAnsi="宋体" w:eastAsia="宋体" w:cs="宋体"/>
        </w:rPr>
        <w:t>药用黄精生产管理过程应符合《中药材生产质量管理规范》的规定；食用黄精生产管理过程应符合国家食品生产许可有关规定。</w:t>
      </w:r>
    </w:p>
    <w:p w14:paraId="6068518E">
      <w:pPr>
        <w:pStyle w:val="27"/>
        <w:numPr>
          <w:ilvl w:val="0"/>
          <w:numId w:val="1"/>
        </w:numPr>
        <w:spacing w:before="312" w:after="312"/>
      </w:pPr>
      <w:bookmarkStart w:id="44" w:name="_Toc88653182"/>
      <w:bookmarkStart w:id="45" w:name="_Toc8102"/>
      <w:r>
        <w:rPr>
          <w:rFonts w:hint="eastAsia"/>
        </w:rPr>
        <w:t>评价指标</w:t>
      </w:r>
      <w:bookmarkEnd w:id="44"/>
      <w:bookmarkEnd w:id="45"/>
    </w:p>
    <w:p w14:paraId="5B44E71E">
      <w:pPr>
        <w:pStyle w:val="14"/>
        <w:rPr>
          <w:rFonts w:hint="eastAsia"/>
        </w:rPr>
      </w:pPr>
      <w:r>
        <w:rPr>
          <w:rFonts w:hint="eastAsia"/>
        </w:rPr>
        <w:t>“江西绿色生态”黄精评价指标由一级指标和二级指标组成。一级指标是指</w:t>
      </w:r>
      <w:r>
        <w:t xml:space="preserve"> DB36/T 1138</w:t>
      </w:r>
      <w:r>
        <w:rPr>
          <w:rFonts w:hint="eastAsia"/>
        </w:rPr>
        <w:t>的第</w:t>
      </w:r>
      <w:r>
        <w:t xml:space="preserve"> 5 </w:t>
      </w:r>
      <w:r>
        <w:rPr>
          <w:rFonts w:hint="eastAsia"/>
        </w:rPr>
        <w:t>章和第 6 章中规定的资源节约属性指标、环境保护属性指标、生态协同属性指标和质量引领属性指标。二级指标是一级指标的具体化。黄精的评价指标、要求、判定依据等内容见表</w:t>
      </w:r>
      <w:r>
        <w:t xml:space="preserve"> 1</w:t>
      </w:r>
      <w:r>
        <w:rPr>
          <w:rFonts w:hint="eastAsia"/>
        </w:rPr>
        <w:t>。</w:t>
      </w:r>
    </w:p>
    <w:p w14:paraId="379F0775">
      <w:pPr>
        <w:pStyle w:val="14"/>
        <w:rPr>
          <w:rFonts w:hint="eastAsia"/>
        </w:rPr>
      </w:pPr>
    </w:p>
    <w:p w14:paraId="02DFAAAA">
      <w:pPr>
        <w:pStyle w:val="14"/>
        <w:ind w:firstLine="422"/>
        <w:jc w:val="center"/>
        <w:rPr>
          <w:b/>
        </w:rPr>
      </w:pPr>
      <w:r>
        <w:rPr>
          <w:rFonts w:hint="eastAsia"/>
          <w:b/>
        </w:rPr>
        <w:t>表</w:t>
      </w:r>
      <w:r>
        <w:rPr>
          <w:b/>
        </w:rPr>
        <w:t xml:space="preserve">1 </w:t>
      </w:r>
      <w:r>
        <w:rPr>
          <w:rFonts w:hint="eastAsia"/>
          <w:b/>
        </w:rPr>
        <w:t>“江西绿色生态”</w:t>
      </w:r>
      <w:r>
        <w:rPr>
          <w:b/>
        </w:rPr>
        <w:t xml:space="preserve"> </w:t>
      </w:r>
      <w:r>
        <w:rPr>
          <w:rFonts w:hint="eastAsia"/>
          <w:b/>
        </w:rPr>
        <w:t>黄精评价指标要求</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647"/>
        <w:gridCol w:w="691"/>
        <w:gridCol w:w="753"/>
        <w:gridCol w:w="1379"/>
        <w:gridCol w:w="2608"/>
        <w:gridCol w:w="2744"/>
      </w:tblGrid>
      <w:tr w14:paraId="5B62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0EF0824A">
            <w:pPr>
              <w:pStyle w:val="14"/>
              <w:ind w:firstLine="0" w:firstLineChars="0"/>
              <w:jc w:val="center"/>
              <w:rPr>
                <w:rFonts w:ascii="Times New Roman"/>
                <w:sz w:val="18"/>
                <w:szCs w:val="18"/>
              </w:rPr>
            </w:pPr>
            <w:r>
              <w:rPr>
                <w:rFonts w:hint="eastAsia" w:ascii="Times New Roman"/>
                <w:sz w:val="18"/>
                <w:szCs w:val="18"/>
              </w:rPr>
              <w:t>序号</w:t>
            </w:r>
          </w:p>
        </w:tc>
        <w:tc>
          <w:tcPr>
            <w:tcW w:w="647" w:type="dxa"/>
            <w:tcBorders>
              <w:left w:val="nil"/>
            </w:tcBorders>
            <w:vAlign w:val="center"/>
          </w:tcPr>
          <w:p w14:paraId="602DCAAF">
            <w:pPr>
              <w:pStyle w:val="14"/>
              <w:ind w:firstLine="0" w:firstLineChars="0"/>
              <w:jc w:val="center"/>
              <w:rPr>
                <w:rFonts w:ascii="Times New Roman"/>
                <w:sz w:val="18"/>
                <w:szCs w:val="18"/>
              </w:rPr>
            </w:pPr>
            <w:r>
              <w:rPr>
                <w:rFonts w:hint="eastAsia" w:ascii="Times New Roman"/>
                <w:sz w:val="18"/>
                <w:szCs w:val="18"/>
              </w:rPr>
              <w:t>一级指标</w:t>
            </w:r>
          </w:p>
        </w:tc>
        <w:tc>
          <w:tcPr>
            <w:tcW w:w="5431" w:type="dxa"/>
            <w:gridSpan w:val="4"/>
            <w:tcBorders>
              <w:left w:val="nil"/>
            </w:tcBorders>
            <w:vAlign w:val="center"/>
          </w:tcPr>
          <w:p w14:paraId="140E3EE7">
            <w:pPr>
              <w:pStyle w:val="14"/>
              <w:ind w:firstLine="360"/>
              <w:jc w:val="center"/>
              <w:rPr>
                <w:rFonts w:ascii="Times New Roman"/>
                <w:sz w:val="18"/>
                <w:szCs w:val="18"/>
              </w:rPr>
            </w:pPr>
            <w:r>
              <w:rPr>
                <w:rFonts w:hint="eastAsia" w:ascii="Times New Roman"/>
                <w:sz w:val="18"/>
                <w:szCs w:val="18"/>
              </w:rPr>
              <w:t>二级指标</w:t>
            </w:r>
          </w:p>
        </w:tc>
        <w:tc>
          <w:tcPr>
            <w:tcW w:w="2744" w:type="dxa"/>
            <w:tcBorders>
              <w:left w:val="nil"/>
            </w:tcBorders>
            <w:vAlign w:val="center"/>
          </w:tcPr>
          <w:p w14:paraId="277D3CA7">
            <w:pPr>
              <w:pStyle w:val="14"/>
              <w:ind w:firstLine="0" w:firstLineChars="0"/>
              <w:jc w:val="center"/>
              <w:rPr>
                <w:rFonts w:ascii="Times New Roman"/>
                <w:sz w:val="18"/>
                <w:szCs w:val="18"/>
              </w:rPr>
            </w:pPr>
            <w:r>
              <w:rPr>
                <w:rFonts w:hint="eastAsia" w:ascii="Times New Roman"/>
                <w:sz w:val="18"/>
                <w:szCs w:val="18"/>
              </w:rPr>
              <w:t>判定依据和方法</w:t>
            </w:r>
          </w:p>
          <w:p w14:paraId="24442C5C">
            <w:pPr>
              <w:pStyle w:val="14"/>
              <w:ind w:firstLine="0" w:firstLineChars="0"/>
              <w:jc w:val="center"/>
              <w:rPr>
                <w:rFonts w:ascii="Times New Roman"/>
                <w:sz w:val="18"/>
                <w:szCs w:val="18"/>
              </w:rPr>
            </w:pPr>
            <w:r>
              <w:rPr>
                <w:rFonts w:ascii="Times New Roman"/>
                <w:sz w:val="18"/>
                <w:szCs w:val="18"/>
              </w:rPr>
              <w:t>(</w:t>
            </w:r>
            <w:r>
              <w:rPr>
                <w:rFonts w:hint="eastAsia" w:ascii="Times New Roman"/>
                <w:sz w:val="18"/>
                <w:szCs w:val="18"/>
              </w:rPr>
              <w:t>推荐</w:t>
            </w:r>
            <w:r>
              <w:rPr>
                <w:rFonts w:ascii="Times New Roman"/>
                <w:sz w:val="18"/>
                <w:szCs w:val="18"/>
              </w:rPr>
              <w:t>)</w:t>
            </w:r>
          </w:p>
        </w:tc>
      </w:tr>
      <w:tr w14:paraId="7E1E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49" w:type="dxa"/>
            <w:vAlign w:val="center"/>
          </w:tcPr>
          <w:p w14:paraId="1CCC0C13">
            <w:pPr>
              <w:pStyle w:val="14"/>
              <w:ind w:firstLine="0" w:firstLineChars="0"/>
              <w:jc w:val="center"/>
              <w:rPr>
                <w:rFonts w:ascii="Times New Roman"/>
                <w:sz w:val="18"/>
                <w:szCs w:val="18"/>
              </w:rPr>
            </w:pPr>
            <w:r>
              <w:rPr>
                <w:rFonts w:ascii="Times New Roman"/>
                <w:sz w:val="18"/>
                <w:szCs w:val="18"/>
              </w:rPr>
              <w:t>1</w:t>
            </w:r>
          </w:p>
        </w:tc>
        <w:tc>
          <w:tcPr>
            <w:tcW w:w="647" w:type="dxa"/>
            <w:vMerge w:val="restart"/>
            <w:tcBorders>
              <w:top w:val="nil"/>
              <w:left w:val="nil"/>
            </w:tcBorders>
            <w:vAlign w:val="center"/>
          </w:tcPr>
          <w:p w14:paraId="69429294">
            <w:pPr>
              <w:pStyle w:val="14"/>
              <w:ind w:firstLine="0" w:firstLineChars="0"/>
              <w:jc w:val="center"/>
              <w:rPr>
                <w:rFonts w:ascii="Times New Roman"/>
                <w:sz w:val="18"/>
                <w:szCs w:val="18"/>
              </w:rPr>
            </w:pPr>
            <w:r>
              <w:rPr>
                <w:rFonts w:hint="eastAsia" w:ascii="Times New Roman"/>
                <w:sz w:val="18"/>
                <w:szCs w:val="18"/>
              </w:rPr>
              <w:t>资源节约</w:t>
            </w:r>
          </w:p>
        </w:tc>
        <w:tc>
          <w:tcPr>
            <w:tcW w:w="5431" w:type="dxa"/>
            <w:gridSpan w:val="4"/>
            <w:tcBorders>
              <w:left w:val="nil"/>
            </w:tcBorders>
          </w:tcPr>
          <w:p w14:paraId="3C197E96">
            <w:pPr>
              <w:pStyle w:val="14"/>
              <w:ind w:firstLine="0" w:firstLineChars="0"/>
              <w:rPr>
                <w:rFonts w:ascii="Times New Roman"/>
                <w:sz w:val="18"/>
                <w:szCs w:val="18"/>
              </w:rPr>
            </w:pPr>
            <w:r>
              <w:rPr>
                <w:rFonts w:hint="eastAsia" w:ascii="Times New Roman"/>
                <w:sz w:val="18"/>
                <w:szCs w:val="18"/>
              </w:rPr>
              <w:t>鼓励节水灌溉，生产基地从定植到采收每亩灌溉用水量应符合</w:t>
            </w:r>
            <w:r>
              <w:rPr>
                <w:rFonts w:ascii="Times New Roman"/>
                <w:sz w:val="18"/>
                <w:szCs w:val="18"/>
              </w:rPr>
              <w:t xml:space="preserve"> DB36/T 619 </w:t>
            </w:r>
            <w:r>
              <w:rPr>
                <w:rFonts w:hint="eastAsia" w:ascii="Times New Roman"/>
                <w:sz w:val="18"/>
                <w:szCs w:val="18"/>
              </w:rPr>
              <w:t>要求</w:t>
            </w:r>
          </w:p>
        </w:tc>
        <w:tc>
          <w:tcPr>
            <w:tcW w:w="2744" w:type="dxa"/>
            <w:tcBorders>
              <w:left w:val="nil"/>
            </w:tcBorders>
          </w:tcPr>
          <w:p w14:paraId="27B9401A">
            <w:pPr>
              <w:pStyle w:val="14"/>
              <w:ind w:firstLine="0" w:firstLineChars="0"/>
              <w:rPr>
                <w:rFonts w:ascii="Times New Roman"/>
                <w:sz w:val="18"/>
                <w:szCs w:val="18"/>
              </w:rPr>
            </w:pPr>
            <w:r>
              <w:rPr>
                <w:rFonts w:hint="eastAsia" w:ascii="Times New Roman"/>
                <w:sz w:val="18"/>
                <w:szCs w:val="18"/>
              </w:rPr>
              <w:t>查看基础设施、灌溉记录</w:t>
            </w:r>
          </w:p>
        </w:tc>
      </w:tr>
      <w:tr w14:paraId="56DA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49" w:type="dxa"/>
            <w:vAlign w:val="center"/>
          </w:tcPr>
          <w:p w14:paraId="113873AD">
            <w:pPr>
              <w:pStyle w:val="14"/>
              <w:ind w:firstLine="0" w:firstLineChars="0"/>
              <w:jc w:val="center"/>
              <w:rPr>
                <w:rFonts w:ascii="Times New Roman"/>
                <w:sz w:val="18"/>
                <w:szCs w:val="18"/>
              </w:rPr>
            </w:pPr>
            <w:r>
              <w:rPr>
                <w:rFonts w:hint="eastAsia" w:ascii="Times New Roman"/>
                <w:sz w:val="18"/>
                <w:szCs w:val="18"/>
              </w:rPr>
              <w:t>2</w:t>
            </w:r>
          </w:p>
        </w:tc>
        <w:tc>
          <w:tcPr>
            <w:tcW w:w="647" w:type="dxa"/>
            <w:vMerge w:val="continue"/>
            <w:tcBorders>
              <w:top w:val="nil"/>
              <w:left w:val="nil"/>
            </w:tcBorders>
            <w:vAlign w:val="center"/>
          </w:tcPr>
          <w:p w14:paraId="53BAB491">
            <w:pPr>
              <w:pStyle w:val="14"/>
              <w:ind w:firstLine="360"/>
              <w:jc w:val="center"/>
              <w:rPr>
                <w:rFonts w:ascii="Times New Roman"/>
                <w:sz w:val="18"/>
                <w:szCs w:val="18"/>
              </w:rPr>
            </w:pPr>
          </w:p>
        </w:tc>
        <w:tc>
          <w:tcPr>
            <w:tcW w:w="5431" w:type="dxa"/>
            <w:gridSpan w:val="4"/>
            <w:tcBorders>
              <w:left w:val="nil"/>
            </w:tcBorders>
          </w:tcPr>
          <w:p w14:paraId="4B0CBF4C">
            <w:pPr>
              <w:pStyle w:val="14"/>
              <w:ind w:firstLine="0" w:firstLineChars="0"/>
              <w:rPr>
                <w:rFonts w:ascii="Times New Roman"/>
                <w:sz w:val="18"/>
                <w:szCs w:val="18"/>
              </w:rPr>
            </w:pPr>
            <w:r>
              <w:rPr>
                <w:rFonts w:hint="eastAsia" w:ascii="Times New Roman"/>
                <w:sz w:val="18"/>
                <w:szCs w:val="18"/>
              </w:rPr>
              <w:t>鼓励采用机械化操作，节约人力成本</w:t>
            </w:r>
          </w:p>
        </w:tc>
        <w:tc>
          <w:tcPr>
            <w:tcW w:w="2744" w:type="dxa"/>
            <w:tcBorders>
              <w:left w:val="nil"/>
            </w:tcBorders>
          </w:tcPr>
          <w:p w14:paraId="4AC5AE8C">
            <w:pPr>
              <w:pStyle w:val="14"/>
              <w:ind w:firstLine="0" w:firstLineChars="0"/>
              <w:rPr>
                <w:rFonts w:ascii="Times New Roman"/>
                <w:sz w:val="18"/>
                <w:szCs w:val="18"/>
              </w:rPr>
            </w:pPr>
            <w:r>
              <w:rPr>
                <w:rFonts w:hint="eastAsia" w:ascii="Times New Roman"/>
                <w:sz w:val="18"/>
                <w:szCs w:val="18"/>
              </w:rPr>
              <w:t>查看用工记录、人工支出</w:t>
            </w:r>
          </w:p>
        </w:tc>
      </w:tr>
      <w:tr w14:paraId="6CF9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49" w:type="dxa"/>
            <w:vAlign w:val="center"/>
          </w:tcPr>
          <w:p w14:paraId="3EB37548">
            <w:pPr>
              <w:pStyle w:val="14"/>
              <w:ind w:firstLine="0" w:firstLineChars="0"/>
              <w:jc w:val="center"/>
              <w:rPr>
                <w:rFonts w:ascii="Times New Roman"/>
                <w:sz w:val="18"/>
                <w:szCs w:val="18"/>
              </w:rPr>
            </w:pPr>
            <w:r>
              <w:rPr>
                <w:rFonts w:hint="eastAsia" w:ascii="Times New Roman"/>
                <w:sz w:val="18"/>
                <w:szCs w:val="18"/>
              </w:rPr>
              <w:t>3</w:t>
            </w:r>
          </w:p>
        </w:tc>
        <w:tc>
          <w:tcPr>
            <w:tcW w:w="647" w:type="dxa"/>
            <w:vMerge w:val="continue"/>
            <w:tcBorders>
              <w:top w:val="nil"/>
              <w:left w:val="nil"/>
            </w:tcBorders>
            <w:vAlign w:val="center"/>
          </w:tcPr>
          <w:p w14:paraId="5C13E378">
            <w:pPr>
              <w:pStyle w:val="14"/>
              <w:ind w:firstLine="360"/>
              <w:jc w:val="center"/>
              <w:rPr>
                <w:rFonts w:ascii="Times New Roman"/>
                <w:sz w:val="18"/>
                <w:szCs w:val="18"/>
              </w:rPr>
            </w:pPr>
          </w:p>
        </w:tc>
        <w:tc>
          <w:tcPr>
            <w:tcW w:w="5431" w:type="dxa"/>
            <w:gridSpan w:val="4"/>
            <w:tcBorders>
              <w:left w:val="nil"/>
            </w:tcBorders>
          </w:tcPr>
          <w:p w14:paraId="58894851">
            <w:pPr>
              <w:pStyle w:val="14"/>
              <w:ind w:firstLine="0" w:firstLineChars="0"/>
              <w:rPr>
                <w:rFonts w:ascii="Times New Roman"/>
                <w:sz w:val="18"/>
                <w:szCs w:val="18"/>
              </w:rPr>
            </w:pPr>
            <w:r>
              <w:rPr>
                <w:rFonts w:hint="eastAsia" w:ascii="Times New Roman"/>
                <w:sz w:val="18"/>
                <w:szCs w:val="18"/>
              </w:rPr>
              <w:t>采收、晾晒和炮制时，选择适宜天气和机械设备，避免因工艺、设备、天气而减产</w:t>
            </w:r>
          </w:p>
        </w:tc>
        <w:tc>
          <w:tcPr>
            <w:tcW w:w="2744" w:type="dxa"/>
            <w:tcBorders>
              <w:left w:val="nil"/>
            </w:tcBorders>
          </w:tcPr>
          <w:p w14:paraId="79A77109">
            <w:pPr>
              <w:pStyle w:val="14"/>
              <w:ind w:firstLine="0" w:firstLineChars="0"/>
              <w:rPr>
                <w:rFonts w:ascii="Times New Roman"/>
                <w:sz w:val="18"/>
                <w:szCs w:val="18"/>
              </w:rPr>
            </w:pPr>
            <w:r>
              <w:rPr>
                <w:rFonts w:hint="eastAsia" w:ascii="Times New Roman"/>
                <w:sz w:val="18"/>
                <w:szCs w:val="18"/>
              </w:rPr>
              <w:t>查看设施设备条件、操作记录</w:t>
            </w:r>
          </w:p>
        </w:tc>
      </w:tr>
      <w:tr w14:paraId="3025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49" w:type="dxa"/>
            <w:vAlign w:val="center"/>
          </w:tcPr>
          <w:p w14:paraId="15011689">
            <w:pPr>
              <w:pStyle w:val="14"/>
              <w:ind w:firstLine="0" w:firstLineChars="0"/>
              <w:jc w:val="center"/>
              <w:rPr>
                <w:rFonts w:ascii="Times New Roman"/>
                <w:sz w:val="18"/>
                <w:szCs w:val="18"/>
              </w:rPr>
            </w:pPr>
            <w:r>
              <w:rPr>
                <w:rFonts w:hint="eastAsia" w:ascii="Times New Roman"/>
                <w:sz w:val="18"/>
                <w:szCs w:val="18"/>
              </w:rPr>
              <w:t>4</w:t>
            </w:r>
          </w:p>
        </w:tc>
        <w:tc>
          <w:tcPr>
            <w:tcW w:w="647" w:type="dxa"/>
            <w:vMerge w:val="continue"/>
            <w:tcBorders>
              <w:top w:val="nil"/>
              <w:left w:val="nil"/>
            </w:tcBorders>
            <w:vAlign w:val="center"/>
          </w:tcPr>
          <w:p w14:paraId="4D634E1F">
            <w:pPr>
              <w:pStyle w:val="14"/>
              <w:ind w:firstLine="360"/>
              <w:jc w:val="center"/>
              <w:rPr>
                <w:rFonts w:ascii="Times New Roman"/>
                <w:sz w:val="18"/>
                <w:szCs w:val="18"/>
              </w:rPr>
            </w:pPr>
          </w:p>
        </w:tc>
        <w:tc>
          <w:tcPr>
            <w:tcW w:w="5431" w:type="dxa"/>
            <w:gridSpan w:val="4"/>
            <w:tcBorders>
              <w:left w:val="nil"/>
            </w:tcBorders>
          </w:tcPr>
          <w:p w14:paraId="65F51502">
            <w:pPr>
              <w:pStyle w:val="14"/>
              <w:ind w:firstLine="0" w:firstLineChars="0"/>
              <w:rPr>
                <w:rFonts w:ascii="Times New Roman"/>
                <w:sz w:val="18"/>
                <w:szCs w:val="18"/>
              </w:rPr>
            </w:pPr>
            <w:r>
              <w:rPr>
                <w:rFonts w:hint="eastAsia" w:ascii="Times New Roman"/>
                <w:sz w:val="18"/>
                <w:szCs w:val="18"/>
              </w:rPr>
              <w:t>产品包装材料应减量化、材料可降解</w:t>
            </w:r>
          </w:p>
        </w:tc>
        <w:tc>
          <w:tcPr>
            <w:tcW w:w="2744" w:type="dxa"/>
            <w:tcBorders>
              <w:left w:val="nil"/>
            </w:tcBorders>
          </w:tcPr>
          <w:p w14:paraId="0D9A6B5D">
            <w:pPr>
              <w:pStyle w:val="14"/>
              <w:ind w:firstLine="0" w:firstLineChars="0"/>
              <w:rPr>
                <w:rFonts w:ascii="Times New Roman"/>
                <w:sz w:val="18"/>
                <w:szCs w:val="18"/>
              </w:rPr>
            </w:pPr>
            <w:r>
              <w:rPr>
                <w:rFonts w:hint="eastAsia" w:ascii="Times New Roman"/>
                <w:sz w:val="18"/>
                <w:szCs w:val="18"/>
              </w:rPr>
              <w:t>查看包装材料采购凭证</w:t>
            </w:r>
          </w:p>
        </w:tc>
      </w:tr>
      <w:tr w14:paraId="072CA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49" w:type="dxa"/>
            <w:vAlign w:val="center"/>
          </w:tcPr>
          <w:p w14:paraId="1DE747DB">
            <w:pPr>
              <w:pStyle w:val="14"/>
              <w:ind w:firstLine="0" w:firstLineChars="0"/>
              <w:jc w:val="center"/>
              <w:rPr>
                <w:rFonts w:ascii="Times New Roman"/>
                <w:sz w:val="18"/>
                <w:szCs w:val="18"/>
              </w:rPr>
            </w:pPr>
            <w:r>
              <w:rPr>
                <w:rFonts w:ascii="Times New Roman"/>
                <w:sz w:val="18"/>
                <w:szCs w:val="18"/>
              </w:rPr>
              <w:t>5</w:t>
            </w:r>
          </w:p>
        </w:tc>
        <w:tc>
          <w:tcPr>
            <w:tcW w:w="647" w:type="dxa"/>
            <w:vMerge w:val="restart"/>
            <w:tcBorders>
              <w:top w:val="nil"/>
              <w:left w:val="nil"/>
            </w:tcBorders>
            <w:vAlign w:val="center"/>
          </w:tcPr>
          <w:p w14:paraId="6756B50D">
            <w:pPr>
              <w:pStyle w:val="14"/>
              <w:ind w:firstLine="0" w:firstLineChars="0"/>
              <w:jc w:val="center"/>
              <w:rPr>
                <w:rFonts w:ascii="Times New Roman"/>
                <w:sz w:val="18"/>
                <w:szCs w:val="18"/>
              </w:rPr>
            </w:pPr>
            <w:r>
              <w:rPr>
                <w:rFonts w:hint="eastAsia" w:ascii="Times New Roman"/>
                <w:sz w:val="18"/>
                <w:szCs w:val="18"/>
              </w:rPr>
              <w:t>环境保护</w:t>
            </w:r>
          </w:p>
        </w:tc>
        <w:tc>
          <w:tcPr>
            <w:tcW w:w="5431" w:type="dxa"/>
            <w:gridSpan w:val="4"/>
            <w:tcBorders>
              <w:left w:val="nil"/>
            </w:tcBorders>
            <w:vAlign w:val="center"/>
          </w:tcPr>
          <w:p w14:paraId="356ADD2D">
            <w:pPr>
              <w:pStyle w:val="14"/>
              <w:ind w:firstLine="0" w:firstLineChars="0"/>
              <w:rPr>
                <w:rFonts w:ascii="Times New Roman"/>
                <w:sz w:val="18"/>
                <w:szCs w:val="18"/>
              </w:rPr>
            </w:pPr>
            <w:r>
              <w:rPr>
                <w:rFonts w:hint="eastAsia" w:ascii="Times New Roman"/>
                <w:sz w:val="18"/>
                <w:szCs w:val="18"/>
              </w:rPr>
              <w:t>鼓励林下栽培、与其他植物轮作、行间套种其他植物，抑制杂草生长，提升土地利用率。</w:t>
            </w:r>
          </w:p>
        </w:tc>
        <w:tc>
          <w:tcPr>
            <w:tcW w:w="2744" w:type="dxa"/>
            <w:tcBorders>
              <w:left w:val="nil"/>
              <w:bottom w:val="single" w:color="auto" w:sz="4" w:space="0"/>
            </w:tcBorders>
          </w:tcPr>
          <w:p w14:paraId="03A02680">
            <w:pPr>
              <w:pStyle w:val="14"/>
              <w:ind w:firstLine="0" w:firstLineChars="0"/>
              <w:rPr>
                <w:rFonts w:ascii="Times New Roman"/>
                <w:sz w:val="18"/>
                <w:szCs w:val="18"/>
              </w:rPr>
            </w:pPr>
            <w:r>
              <w:rPr>
                <w:rFonts w:hint="eastAsia" w:ascii="Times New Roman"/>
                <w:sz w:val="18"/>
                <w:szCs w:val="18"/>
              </w:rPr>
              <w:t>查看种植基地规划图</w:t>
            </w:r>
          </w:p>
        </w:tc>
      </w:tr>
      <w:tr w14:paraId="0401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bottom w:val="single" w:color="auto" w:sz="4" w:space="0"/>
            </w:tcBorders>
            <w:vAlign w:val="center"/>
          </w:tcPr>
          <w:p w14:paraId="11898892">
            <w:pPr>
              <w:pStyle w:val="14"/>
              <w:ind w:firstLine="0" w:firstLineChars="0"/>
              <w:jc w:val="center"/>
              <w:rPr>
                <w:rFonts w:ascii="Times New Roman"/>
                <w:sz w:val="18"/>
                <w:szCs w:val="18"/>
              </w:rPr>
            </w:pPr>
            <w:r>
              <w:rPr>
                <w:rFonts w:ascii="Times New Roman"/>
                <w:sz w:val="18"/>
                <w:szCs w:val="18"/>
              </w:rPr>
              <w:t>6</w:t>
            </w:r>
          </w:p>
        </w:tc>
        <w:tc>
          <w:tcPr>
            <w:tcW w:w="647" w:type="dxa"/>
            <w:vMerge w:val="continue"/>
            <w:tcBorders>
              <w:top w:val="nil"/>
              <w:left w:val="nil"/>
              <w:bottom w:val="single" w:color="auto" w:sz="4" w:space="0"/>
            </w:tcBorders>
            <w:vAlign w:val="center"/>
          </w:tcPr>
          <w:p w14:paraId="3CA4258B">
            <w:pPr>
              <w:pStyle w:val="14"/>
              <w:ind w:firstLine="360"/>
              <w:jc w:val="center"/>
              <w:rPr>
                <w:rFonts w:ascii="Times New Roman"/>
                <w:sz w:val="18"/>
                <w:szCs w:val="18"/>
              </w:rPr>
            </w:pPr>
          </w:p>
        </w:tc>
        <w:tc>
          <w:tcPr>
            <w:tcW w:w="5431" w:type="dxa"/>
            <w:gridSpan w:val="4"/>
            <w:tcBorders>
              <w:left w:val="nil"/>
              <w:bottom w:val="single" w:color="auto" w:sz="4" w:space="0"/>
              <w:right w:val="single" w:color="auto" w:sz="4" w:space="0"/>
            </w:tcBorders>
          </w:tcPr>
          <w:p w14:paraId="7E3E28EB">
            <w:pPr>
              <w:pStyle w:val="14"/>
              <w:ind w:firstLine="0" w:firstLineChars="0"/>
              <w:rPr>
                <w:rFonts w:ascii="Times New Roman"/>
                <w:sz w:val="18"/>
                <w:szCs w:val="18"/>
              </w:rPr>
            </w:pPr>
            <w:r>
              <w:rPr>
                <w:rFonts w:hint="eastAsia" w:ascii="Times New Roman"/>
                <w:sz w:val="18"/>
                <w:szCs w:val="18"/>
              </w:rPr>
              <w:t>避免使用化学农药或除草剂污染土壤，不得使用禁限用农药，使用农药应按照</w:t>
            </w:r>
            <w:r>
              <w:rPr>
                <w:rFonts w:ascii="Times New Roman"/>
                <w:sz w:val="18"/>
                <w:szCs w:val="18"/>
              </w:rPr>
              <w:t>NY/T 1276 农药安全使用规范总则</w:t>
            </w:r>
            <w:r>
              <w:rPr>
                <w:rFonts w:hint="eastAsia" w:ascii="Times New Roman"/>
                <w:sz w:val="18"/>
                <w:szCs w:val="18"/>
              </w:rPr>
              <w:t>要求。</w:t>
            </w:r>
          </w:p>
        </w:tc>
        <w:tc>
          <w:tcPr>
            <w:tcW w:w="2744" w:type="dxa"/>
            <w:vMerge w:val="restart"/>
            <w:tcBorders>
              <w:top w:val="single" w:color="auto" w:sz="4" w:space="0"/>
              <w:left w:val="single" w:color="auto" w:sz="4" w:space="0"/>
              <w:bottom w:val="single" w:color="auto" w:sz="4" w:space="0"/>
            </w:tcBorders>
            <w:vAlign w:val="center"/>
          </w:tcPr>
          <w:p w14:paraId="222D535B">
            <w:pPr>
              <w:pStyle w:val="14"/>
              <w:ind w:firstLine="0" w:firstLineChars="0"/>
              <w:rPr>
                <w:rFonts w:ascii="Times New Roman"/>
                <w:sz w:val="18"/>
                <w:szCs w:val="18"/>
              </w:rPr>
            </w:pPr>
            <w:r>
              <w:rPr>
                <w:rFonts w:hint="eastAsia" w:ascii="Times New Roman"/>
                <w:sz w:val="18"/>
                <w:szCs w:val="18"/>
              </w:rPr>
              <w:t>查看生产记录或物资购买、库存凭证</w:t>
            </w:r>
          </w:p>
        </w:tc>
      </w:tr>
      <w:tr w14:paraId="1AC2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49" w:type="dxa"/>
            <w:tcBorders>
              <w:top w:val="single" w:color="auto" w:sz="4" w:space="0"/>
              <w:bottom w:val="single" w:color="auto" w:sz="4" w:space="0"/>
            </w:tcBorders>
            <w:vAlign w:val="center"/>
          </w:tcPr>
          <w:p w14:paraId="76F5CB1C">
            <w:pPr>
              <w:pStyle w:val="14"/>
              <w:ind w:firstLine="0" w:firstLineChars="0"/>
              <w:jc w:val="center"/>
              <w:rPr>
                <w:rFonts w:ascii="Times New Roman"/>
                <w:sz w:val="18"/>
                <w:szCs w:val="18"/>
              </w:rPr>
            </w:pPr>
            <w:r>
              <w:rPr>
                <w:rFonts w:ascii="Times New Roman"/>
                <w:sz w:val="18"/>
                <w:szCs w:val="18"/>
              </w:rPr>
              <w:t>7</w:t>
            </w:r>
          </w:p>
        </w:tc>
        <w:tc>
          <w:tcPr>
            <w:tcW w:w="647" w:type="dxa"/>
            <w:vMerge w:val="continue"/>
            <w:tcBorders>
              <w:top w:val="single" w:color="auto" w:sz="4" w:space="0"/>
              <w:left w:val="nil"/>
              <w:bottom w:val="single" w:color="auto" w:sz="4" w:space="0"/>
            </w:tcBorders>
            <w:vAlign w:val="center"/>
          </w:tcPr>
          <w:p w14:paraId="749A6BEF">
            <w:pPr>
              <w:pStyle w:val="14"/>
              <w:ind w:firstLine="360"/>
              <w:jc w:val="center"/>
              <w:rPr>
                <w:rFonts w:ascii="Times New Roman"/>
                <w:sz w:val="18"/>
                <w:szCs w:val="18"/>
              </w:rPr>
            </w:pPr>
          </w:p>
        </w:tc>
        <w:tc>
          <w:tcPr>
            <w:tcW w:w="5431" w:type="dxa"/>
            <w:gridSpan w:val="4"/>
            <w:tcBorders>
              <w:top w:val="single" w:color="auto" w:sz="4" w:space="0"/>
              <w:left w:val="nil"/>
              <w:bottom w:val="single" w:color="auto" w:sz="4" w:space="0"/>
              <w:right w:val="single" w:color="auto" w:sz="4" w:space="0"/>
            </w:tcBorders>
          </w:tcPr>
          <w:p w14:paraId="72A50A4B">
            <w:pPr>
              <w:pStyle w:val="14"/>
              <w:ind w:firstLine="0" w:firstLineChars="0"/>
              <w:rPr>
                <w:rFonts w:ascii="Times New Roman"/>
                <w:sz w:val="18"/>
                <w:szCs w:val="18"/>
              </w:rPr>
            </w:pPr>
            <w:r>
              <w:rPr>
                <w:rFonts w:hint="eastAsia" w:ascii="Times New Roman"/>
                <w:sz w:val="18"/>
                <w:szCs w:val="18"/>
              </w:rPr>
              <w:t>肥料使用应按照</w:t>
            </w:r>
            <w:r>
              <w:rPr>
                <w:rFonts w:ascii="Times New Roman"/>
                <w:sz w:val="18"/>
                <w:szCs w:val="18"/>
              </w:rPr>
              <w:t xml:space="preserve"> NY/T 496 </w:t>
            </w:r>
            <w:r>
              <w:rPr>
                <w:rFonts w:hint="eastAsia" w:ascii="Times New Roman"/>
                <w:sz w:val="18"/>
                <w:szCs w:val="18"/>
              </w:rPr>
              <w:t>的准则，减少化肥施用，以有机肥为主，有机肥使用按照</w:t>
            </w:r>
            <w:r>
              <w:rPr>
                <w:rFonts w:ascii="Times New Roman"/>
                <w:sz w:val="18"/>
                <w:szCs w:val="18"/>
              </w:rPr>
              <w:t xml:space="preserve">NY 525 </w:t>
            </w:r>
            <w:r>
              <w:rPr>
                <w:rFonts w:hint="eastAsia" w:ascii="Times New Roman"/>
                <w:sz w:val="18"/>
                <w:szCs w:val="18"/>
              </w:rPr>
              <w:t>的准则。</w:t>
            </w:r>
          </w:p>
        </w:tc>
        <w:tc>
          <w:tcPr>
            <w:tcW w:w="2744" w:type="dxa"/>
            <w:vMerge w:val="continue"/>
            <w:tcBorders>
              <w:top w:val="single" w:color="auto" w:sz="4" w:space="0"/>
              <w:left w:val="single" w:color="auto" w:sz="4" w:space="0"/>
              <w:bottom w:val="single" w:color="auto" w:sz="4" w:space="0"/>
            </w:tcBorders>
            <w:vAlign w:val="center"/>
          </w:tcPr>
          <w:p w14:paraId="4CD82595">
            <w:pPr>
              <w:pStyle w:val="14"/>
              <w:ind w:firstLine="360"/>
              <w:rPr>
                <w:rFonts w:ascii="Times New Roman"/>
                <w:sz w:val="18"/>
                <w:szCs w:val="18"/>
              </w:rPr>
            </w:pPr>
          </w:p>
        </w:tc>
      </w:tr>
      <w:tr w14:paraId="2C8C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bottom w:val="single" w:color="auto" w:sz="4" w:space="0"/>
            </w:tcBorders>
            <w:vAlign w:val="center"/>
          </w:tcPr>
          <w:p w14:paraId="3F13F639">
            <w:pPr>
              <w:pStyle w:val="14"/>
              <w:ind w:firstLine="0" w:firstLineChars="0"/>
              <w:jc w:val="center"/>
              <w:rPr>
                <w:rFonts w:ascii="Times New Roman"/>
                <w:sz w:val="18"/>
                <w:szCs w:val="18"/>
              </w:rPr>
            </w:pPr>
            <w:r>
              <w:rPr>
                <w:rFonts w:ascii="Times New Roman"/>
                <w:sz w:val="18"/>
                <w:szCs w:val="18"/>
              </w:rPr>
              <w:t>8</w:t>
            </w:r>
          </w:p>
        </w:tc>
        <w:tc>
          <w:tcPr>
            <w:tcW w:w="647" w:type="dxa"/>
            <w:vMerge w:val="continue"/>
            <w:tcBorders>
              <w:top w:val="single" w:color="auto" w:sz="4" w:space="0"/>
              <w:left w:val="nil"/>
              <w:bottom w:val="single" w:color="auto" w:sz="4" w:space="0"/>
            </w:tcBorders>
            <w:vAlign w:val="center"/>
          </w:tcPr>
          <w:p w14:paraId="5FCC2162">
            <w:pPr>
              <w:pStyle w:val="14"/>
              <w:ind w:firstLine="360"/>
              <w:jc w:val="center"/>
              <w:rPr>
                <w:rFonts w:ascii="Times New Roman"/>
                <w:sz w:val="18"/>
                <w:szCs w:val="18"/>
              </w:rPr>
            </w:pPr>
          </w:p>
        </w:tc>
        <w:tc>
          <w:tcPr>
            <w:tcW w:w="5431" w:type="dxa"/>
            <w:gridSpan w:val="4"/>
            <w:tcBorders>
              <w:top w:val="single" w:color="auto" w:sz="4" w:space="0"/>
              <w:left w:val="nil"/>
              <w:bottom w:val="single" w:color="auto" w:sz="4" w:space="0"/>
              <w:right w:val="single" w:color="auto" w:sz="4" w:space="0"/>
            </w:tcBorders>
          </w:tcPr>
          <w:p w14:paraId="5E01CABA">
            <w:pPr>
              <w:pStyle w:val="14"/>
              <w:ind w:firstLine="0" w:firstLineChars="0"/>
              <w:rPr>
                <w:rFonts w:ascii="Times New Roman"/>
                <w:sz w:val="18"/>
                <w:szCs w:val="18"/>
              </w:rPr>
            </w:pPr>
            <w:r>
              <w:rPr>
                <w:rFonts w:hint="eastAsia" w:ascii="Times New Roman"/>
                <w:sz w:val="18"/>
                <w:szCs w:val="18"/>
              </w:rPr>
              <w:t>实行病虫害绿色防控，积极采用生物防治和物理防治，选用高效低毒低残留化学</w:t>
            </w:r>
          </w:p>
        </w:tc>
        <w:tc>
          <w:tcPr>
            <w:tcW w:w="2744" w:type="dxa"/>
            <w:vMerge w:val="continue"/>
            <w:tcBorders>
              <w:top w:val="single" w:color="auto" w:sz="4" w:space="0"/>
              <w:left w:val="single" w:color="auto" w:sz="4" w:space="0"/>
              <w:bottom w:val="single" w:color="auto" w:sz="4" w:space="0"/>
            </w:tcBorders>
            <w:vAlign w:val="center"/>
          </w:tcPr>
          <w:p w14:paraId="51C46001">
            <w:pPr>
              <w:pStyle w:val="14"/>
              <w:ind w:firstLine="360"/>
              <w:rPr>
                <w:rFonts w:ascii="Times New Roman"/>
                <w:sz w:val="18"/>
                <w:szCs w:val="18"/>
              </w:rPr>
            </w:pPr>
          </w:p>
        </w:tc>
      </w:tr>
      <w:tr w14:paraId="31C6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bottom w:val="single" w:color="auto" w:sz="4" w:space="0"/>
            </w:tcBorders>
            <w:vAlign w:val="center"/>
          </w:tcPr>
          <w:p w14:paraId="1C6461EC">
            <w:pPr>
              <w:pStyle w:val="14"/>
              <w:ind w:firstLine="0" w:firstLineChars="0"/>
              <w:jc w:val="center"/>
              <w:rPr>
                <w:rFonts w:ascii="Times New Roman"/>
                <w:sz w:val="18"/>
                <w:szCs w:val="18"/>
              </w:rPr>
            </w:pPr>
            <w:r>
              <w:rPr>
                <w:rFonts w:ascii="Times New Roman"/>
                <w:sz w:val="18"/>
                <w:szCs w:val="18"/>
              </w:rPr>
              <w:t>9</w:t>
            </w:r>
          </w:p>
        </w:tc>
        <w:tc>
          <w:tcPr>
            <w:tcW w:w="647" w:type="dxa"/>
            <w:vMerge w:val="continue"/>
            <w:tcBorders>
              <w:top w:val="single" w:color="auto" w:sz="4" w:space="0"/>
              <w:left w:val="nil"/>
              <w:bottom w:val="single" w:color="auto" w:sz="4" w:space="0"/>
            </w:tcBorders>
            <w:vAlign w:val="center"/>
          </w:tcPr>
          <w:p w14:paraId="4BB35DD4">
            <w:pPr>
              <w:pStyle w:val="14"/>
              <w:ind w:firstLine="360"/>
              <w:jc w:val="center"/>
              <w:rPr>
                <w:rFonts w:ascii="Times New Roman"/>
                <w:sz w:val="18"/>
                <w:szCs w:val="18"/>
              </w:rPr>
            </w:pPr>
          </w:p>
        </w:tc>
        <w:tc>
          <w:tcPr>
            <w:tcW w:w="5431" w:type="dxa"/>
            <w:gridSpan w:val="4"/>
            <w:tcBorders>
              <w:top w:val="single" w:color="auto" w:sz="4" w:space="0"/>
              <w:left w:val="nil"/>
              <w:bottom w:val="single" w:color="auto" w:sz="4" w:space="0"/>
              <w:right w:val="single" w:color="auto" w:sz="4" w:space="0"/>
            </w:tcBorders>
          </w:tcPr>
          <w:p w14:paraId="438D2FCE">
            <w:pPr>
              <w:pStyle w:val="14"/>
              <w:ind w:firstLine="0" w:firstLineChars="0"/>
              <w:rPr>
                <w:rFonts w:ascii="Times New Roman"/>
                <w:sz w:val="18"/>
                <w:szCs w:val="18"/>
              </w:rPr>
            </w:pPr>
            <w:r>
              <w:rPr>
                <w:rFonts w:hint="eastAsia" w:ascii="Times New Roman"/>
                <w:sz w:val="18"/>
                <w:szCs w:val="18"/>
              </w:rPr>
              <w:t>田间农药、肥料包装废弃物、白色垃圾应有专人进行分类收集、存放和处理</w:t>
            </w:r>
          </w:p>
        </w:tc>
        <w:tc>
          <w:tcPr>
            <w:tcW w:w="2744" w:type="dxa"/>
            <w:tcBorders>
              <w:top w:val="single" w:color="auto" w:sz="4" w:space="0"/>
              <w:left w:val="single" w:color="auto" w:sz="4" w:space="0"/>
              <w:bottom w:val="single" w:color="auto" w:sz="4" w:space="0"/>
            </w:tcBorders>
          </w:tcPr>
          <w:p w14:paraId="40264DCE">
            <w:pPr>
              <w:pStyle w:val="14"/>
              <w:ind w:firstLine="0" w:firstLineChars="0"/>
              <w:rPr>
                <w:rFonts w:ascii="Times New Roman"/>
                <w:sz w:val="18"/>
                <w:szCs w:val="18"/>
              </w:rPr>
            </w:pPr>
            <w:r>
              <w:rPr>
                <w:rFonts w:hint="eastAsia" w:ascii="Times New Roman"/>
                <w:sz w:val="18"/>
                <w:szCs w:val="18"/>
              </w:rPr>
              <w:t>查看面源污染防控记录或措施痕迹</w:t>
            </w:r>
          </w:p>
        </w:tc>
      </w:tr>
      <w:tr w14:paraId="673E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bottom w:val="single" w:color="auto" w:sz="4" w:space="0"/>
            </w:tcBorders>
            <w:vAlign w:val="center"/>
          </w:tcPr>
          <w:p w14:paraId="53C2F570">
            <w:pPr>
              <w:pStyle w:val="14"/>
              <w:ind w:firstLine="0" w:firstLineChars="0"/>
              <w:jc w:val="center"/>
              <w:rPr>
                <w:rFonts w:ascii="Times New Roman"/>
                <w:sz w:val="18"/>
                <w:szCs w:val="18"/>
              </w:rPr>
            </w:pPr>
            <w:r>
              <w:rPr>
                <w:rFonts w:hint="eastAsia" w:ascii="Times New Roman"/>
                <w:sz w:val="18"/>
                <w:szCs w:val="18"/>
              </w:rPr>
              <w:t>10</w:t>
            </w:r>
          </w:p>
        </w:tc>
        <w:tc>
          <w:tcPr>
            <w:tcW w:w="647" w:type="dxa"/>
            <w:vMerge w:val="continue"/>
            <w:tcBorders>
              <w:top w:val="single" w:color="auto" w:sz="4" w:space="0"/>
              <w:left w:val="nil"/>
              <w:bottom w:val="single" w:color="auto" w:sz="4" w:space="0"/>
            </w:tcBorders>
            <w:vAlign w:val="center"/>
          </w:tcPr>
          <w:p w14:paraId="0358961C">
            <w:pPr>
              <w:pStyle w:val="14"/>
              <w:ind w:firstLine="360"/>
              <w:jc w:val="center"/>
              <w:rPr>
                <w:rFonts w:ascii="Times New Roman"/>
                <w:sz w:val="18"/>
                <w:szCs w:val="18"/>
              </w:rPr>
            </w:pPr>
          </w:p>
        </w:tc>
        <w:tc>
          <w:tcPr>
            <w:tcW w:w="5431" w:type="dxa"/>
            <w:gridSpan w:val="4"/>
            <w:tcBorders>
              <w:top w:val="single" w:color="auto" w:sz="4" w:space="0"/>
              <w:left w:val="nil"/>
              <w:bottom w:val="single" w:color="auto" w:sz="4" w:space="0"/>
              <w:right w:val="single" w:color="auto" w:sz="4" w:space="0"/>
            </w:tcBorders>
          </w:tcPr>
          <w:p w14:paraId="3F68F5E7">
            <w:pPr>
              <w:pStyle w:val="14"/>
              <w:ind w:firstLine="0" w:firstLineChars="0"/>
              <w:rPr>
                <w:rFonts w:ascii="Times New Roman"/>
                <w:sz w:val="18"/>
                <w:szCs w:val="18"/>
              </w:rPr>
            </w:pPr>
            <w:r>
              <w:rPr>
                <w:rFonts w:hint="eastAsia" w:ascii="Times New Roman"/>
                <w:sz w:val="18"/>
                <w:szCs w:val="18"/>
              </w:rPr>
              <w:t>鼓励实施GAP种植生产基地的备案认证</w:t>
            </w:r>
          </w:p>
        </w:tc>
        <w:tc>
          <w:tcPr>
            <w:tcW w:w="2744" w:type="dxa"/>
            <w:tcBorders>
              <w:top w:val="single" w:color="auto" w:sz="4" w:space="0"/>
              <w:left w:val="single" w:color="auto" w:sz="4" w:space="0"/>
              <w:bottom w:val="single" w:color="auto" w:sz="4" w:space="0"/>
            </w:tcBorders>
          </w:tcPr>
          <w:p w14:paraId="67B9E80D">
            <w:pPr>
              <w:pStyle w:val="14"/>
              <w:ind w:firstLine="0" w:firstLineChars="0"/>
              <w:rPr>
                <w:rFonts w:ascii="Times New Roman"/>
                <w:sz w:val="18"/>
                <w:szCs w:val="18"/>
              </w:rPr>
            </w:pPr>
            <w:r>
              <w:rPr>
                <w:rFonts w:hint="eastAsia" w:ascii="Times New Roman"/>
                <w:sz w:val="18"/>
                <w:szCs w:val="18"/>
              </w:rPr>
              <w:t>查看GAP备案的规范文件、生产记录</w:t>
            </w:r>
          </w:p>
        </w:tc>
      </w:tr>
      <w:tr w14:paraId="7F9D5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tcBorders>
            <w:vAlign w:val="center"/>
          </w:tcPr>
          <w:p w14:paraId="1A07F42E">
            <w:pPr>
              <w:pStyle w:val="14"/>
              <w:ind w:firstLine="0" w:firstLineChars="0"/>
              <w:jc w:val="center"/>
              <w:rPr>
                <w:rFonts w:ascii="Times New Roman"/>
                <w:sz w:val="18"/>
                <w:szCs w:val="18"/>
              </w:rPr>
            </w:pPr>
            <w:r>
              <w:rPr>
                <w:rFonts w:ascii="Times New Roman"/>
                <w:sz w:val="18"/>
                <w:szCs w:val="18"/>
              </w:rPr>
              <w:t>10</w:t>
            </w:r>
          </w:p>
        </w:tc>
        <w:tc>
          <w:tcPr>
            <w:tcW w:w="647" w:type="dxa"/>
            <w:vMerge w:val="restart"/>
            <w:tcBorders>
              <w:top w:val="single" w:color="auto" w:sz="4" w:space="0"/>
              <w:left w:val="nil"/>
            </w:tcBorders>
            <w:vAlign w:val="center"/>
          </w:tcPr>
          <w:p w14:paraId="11A5CA07">
            <w:pPr>
              <w:pStyle w:val="14"/>
              <w:ind w:firstLine="0" w:firstLineChars="0"/>
              <w:jc w:val="center"/>
              <w:rPr>
                <w:rFonts w:ascii="Times New Roman"/>
                <w:sz w:val="18"/>
                <w:szCs w:val="18"/>
              </w:rPr>
            </w:pPr>
            <w:r>
              <w:rPr>
                <w:rFonts w:hint="eastAsia" w:ascii="Times New Roman"/>
                <w:sz w:val="18"/>
                <w:szCs w:val="18"/>
              </w:rPr>
              <w:t>生态协同</w:t>
            </w:r>
          </w:p>
        </w:tc>
        <w:tc>
          <w:tcPr>
            <w:tcW w:w="5431" w:type="dxa"/>
            <w:gridSpan w:val="4"/>
            <w:tcBorders>
              <w:top w:val="single" w:color="auto" w:sz="4" w:space="0"/>
              <w:left w:val="nil"/>
            </w:tcBorders>
          </w:tcPr>
          <w:p w14:paraId="4F5BA78A">
            <w:pPr>
              <w:pStyle w:val="14"/>
              <w:ind w:firstLine="0" w:firstLineChars="0"/>
              <w:rPr>
                <w:rFonts w:ascii="Times New Roman"/>
                <w:sz w:val="18"/>
                <w:szCs w:val="18"/>
              </w:rPr>
            </w:pPr>
            <w:r>
              <w:rPr>
                <w:rFonts w:hint="eastAsia" w:ascii="Times New Roman"/>
                <w:sz w:val="18"/>
                <w:szCs w:val="18"/>
              </w:rPr>
              <w:t>基础设施应与林地环境融为一体，维持生物多样性，重塑或修复生物栖息地</w:t>
            </w:r>
          </w:p>
        </w:tc>
        <w:tc>
          <w:tcPr>
            <w:tcW w:w="2744" w:type="dxa"/>
            <w:vMerge w:val="restart"/>
            <w:tcBorders>
              <w:top w:val="single" w:color="auto" w:sz="4" w:space="0"/>
              <w:left w:val="nil"/>
            </w:tcBorders>
            <w:vAlign w:val="center"/>
          </w:tcPr>
          <w:p w14:paraId="342B561B">
            <w:pPr>
              <w:pStyle w:val="14"/>
              <w:ind w:firstLine="0" w:firstLineChars="0"/>
              <w:rPr>
                <w:rFonts w:ascii="Times New Roman"/>
                <w:sz w:val="18"/>
                <w:szCs w:val="18"/>
              </w:rPr>
            </w:pPr>
            <w:r>
              <w:rPr>
                <w:rFonts w:hint="eastAsia" w:ascii="Times New Roman"/>
                <w:sz w:val="18"/>
                <w:szCs w:val="18"/>
              </w:rPr>
              <w:t>查看林地规划图、实地查看</w:t>
            </w:r>
          </w:p>
        </w:tc>
      </w:tr>
      <w:tr w14:paraId="6F47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49" w:type="dxa"/>
            <w:vAlign w:val="center"/>
          </w:tcPr>
          <w:p w14:paraId="50B6D22E">
            <w:pPr>
              <w:pStyle w:val="14"/>
              <w:ind w:firstLine="0" w:firstLineChars="0"/>
              <w:jc w:val="center"/>
              <w:rPr>
                <w:rFonts w:ascii="Times New Roman"/>
                <w:sz w:val="18"/>
                <w:szCs w:val="18"/>
              </w:rPr>
            </w:pPr>
            <w:r>
              <w:rPr>
                <w:rFonts w:ascii="Times New Roman"/>
                <w:sz w:val="18"/>
                <w:szCs w:val="18"/>
              </w:rPr>
              <w:t>11</w:t>
            </w:r>
          </w:p>
        </w:tc>
        <w:tc>
          <w:tcPr>
            <w:tcW w:w="647" w:type="dxa"/>
            <w:vMerge w:val="continue"/>
            <w:tcBorders>
              <w:top w:val="nil"/>
              <w:left w:val="nil"/>
            </w:tcBorders>
            <w:vAlign w:val="center"/>
          </w:tcPr>
          <w:p w14:paraId="092629EB">
            <w:pPr>
              <w:pStyle w:val="14"/>
              <w:ind w:firstLine="360"/>
              <w:jc w:val="center"/>
              <w:rPr>
                <w:rFonts w:ascii="Times New Roman"/>
                <w:sz w:val="18"/>
                <w:szCs w:val="18"/>
              </w:rPr>
            </w:pPr>
          </w:p>
        </w:tc>
        <w:tc>
          <w:tcPr>
            <w:tcW w:w="5431" w:type="dxa"/>
            <w:gridSpan w:val="4"/>
            <w:tcBorders>
              <w:left w:val="nil"/>
            </w:tcBorders>
          </w:tcPr>
          <w:p w14:paraId="4AB541A4">
            <w:pPr>
              <w:pStyle w:val="14"/>
              <w:ind w:firstLine="0" w:firstLineChars="0"/>
              <w:rPr>
                <w:rFonts w:ascii="Times New Roman"/>
                <w:sz w:val="18"/>
                <w:szCs w:val="18"/>
              </w:rPr>
            </w:pPr>
            <w:r>
              <w:rPr>
                <w:rFonts w:hint="eastAsia" w:ascii="Times New Roman"/>
                <w:sz w:val="18"/>
                <w:szCs w:val="18"/>
              </w:rPr>
              <w:t>生产区域与其他田块间，有条件应设置隔离带或物理屏障</w:t>
            </w:r>
          </w:p>
        </w:tc>
        <w:tc>
          <w:tcPr>
            <w:tcW w:w="2744" w:type="dxa"/>
            <w:vMerge w:val="continue"/>
            <w:tcBorders>
              <w:top w:val="nil"/>
              <w:left w:val="nil"/>
            </w:tcBorders>
            <w:vAlign w:val="center"/>
          </w:tcPr>
          <w:p w14:paraId="5B80D94B">
            <w:pPr>
              <w:pStyle w:val="14"/>
              <w:ind w:firstLine="360"/>
              <w:rPr>
                <w:rFonts w:ascii="Times New Roman"/>
                <w:sz w:val="18"/>
                <w:szCs w:val="18"/>
              </w:rPr>
            </w:pPr>
          </w:p>
        </w:tc>
      </w:tr>
      <w:tr w14:paraId="5906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10F8CFF9">
            <w:pPr>
              <w:pStyle w:val="14"/>
              <w:ind w:firstLine="0" w:firstLineChars="0"/>
              <w:jc w:val="center"/>
              <w:rPr>
                <w:rFonts w:ascii="Times New Roman"/>
                <w:sz w:val="18"/>
                <w:szCs w:val="18"/>
              </w:rPr>
            </w:pPr>
            <w:r>
              <w:rPr>
                <w:rFonts w:ascii="Times New Roman"/>
                <w:sz w:val="18"/>
                <w:szCs w:val="18"/>
              </w:rPr>
              <w:t>12</w:t>
            </w:r>
          </w:p>
        </w:tc>
        <w:tc>
          <w:tcPr>
            <w:tcW w:w="647" w:type="dxa"/>
            <w:vMerge w:val="continue"/>
            <w:tcBorders>
              <w:top w:val="nil"/>
              <w:left w:val="nil"/>
            </w:tcBorders>
            <w:vAlign w:val="center"/>
          </w:tcPr>
          <w:p w14:paraId="3F4176A5">
            <w:pPr>
              <w:pStyle w:val="14"/>
              <w:ind w:firstLine="360"/>
              <w:jc w:val="center"/>
              <w:rPr>
                <w:rFonts w:ascii="Times New Roman"/>
                <w:sz w:val="18"/>
                <w:szCs w:val="18"/>
              </w:rPr>
            </w:pPr>
          </w:p>
        </w:tc>
        <w:tc>
          <w:tcPr>
            <w:tcW w:w="5431" w:type="dxa"/>
            <w:gridSpan w:val="4"/>
            <w:tcBorders>
              <w:left w:val="nil"/>
            </w:tcBorders>
          </w:tcPr>
          <w:p w14:paraId="655B5B70">
            <w:pPr>
              <w:pStyle w:val="14"/>
              <w:ind w:firstLine="0" w:firstLineChars="0"/>
              <w:rPr>
                <w:rFonts w:ascii="Times New Roman"/>
                <w:sz w:val="18"/>
                <w:szCs w:val="18"/>
              </w:rPr>
            </w:pPr>
            <w:r>
              <w:rPr>
                <w:rFonts w:hint="eastAsia" w:ascii="Times New Roman"/>
                <w:sz w:val="18"/>
                <w:szCs w:val="18"/>
              </w:rPr>
              <w:t>通过科学规划和设施完善，充分发挥种植园生态系统调节服务功能，以及景观游憩、自然教育等文化服务功能</w:t>
            </w:r>
          </w:p>
        </w:tc>
        <w:tc>
          <w:tcPr>
            <w:tcW w:w="2744" w:type="dxa"/>
            <w:tcBorders>
              <w:left w:val="nil"/>
            </w:tcBorders>
          </w:tcPr>
          <w:p w14:paraId="0499CBB3">
            <w:pPr>
              <w:pStyle w:val="14"/>
              <w:ind w:firstLine="0" w:firstLineChars="0"/>
              <w:rPr>
                <w:rFonts w:ascii="Times New Roman"/>
                <w:sz w:val="18"/>
                <w:szCs w:val="18"/>
              </w:rPr>
            </w:pPr>
            <w:r>
              <w:rPr>
                <w:rFonts w:hint="eastAsia" w:ascii="Times New Roman"/>
                <w:sz w:val="18"/>
                <w:szCs w:val="18"/>
              </w:rPr>
              <w:t>查看科普教育、旅游观光记录</w:t>
            </w:r>
          </w:p>
        </w:tc>
      </w:tr>
      <w:tr w14:paraId="4666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749" w:type="dxa"/>
            <w:vAlign w:val="center"/>
          </w:tcPr>
          <w:p w14:paraId="1E20E07B">
            <w:pPr>
              <w:pStyle w:val="14"/>
              <w:ind w:firstLine="0" w:firstLineChars="0"/>
              <w:jc w:val="center"/>
              <w:rPr>
                <w:rFonts w:ascii="Times New Roman"/>
                <w:sz w:val="18"/>
                <w:szCs w:val="18"/>
              </w:rPr>
            </w:pPr>
            <w:r>
              <w:rPr>
                <w:rFonts w:ascii="Times New Roman"/>
                <w:sz w:val="18"/>
                <w:szCs w:val="18"/>
              </w:rPr>
              <w:t>13</w:t>
            </w:r>
          </w:p>
        </w:tc>
        <w:tc>
          <w:tcPr>
            <w:tcW w:w="647" w:type="dxa"/>
            <w:vMerge w:val="restart"/>
            <w:tcBorders>
              <w:top w:val="nil"/>
              <w:left w:val="nil"/>
            </w:tcBorders>
            <w:vAlign w:val="center"/>
          </w:tcPr>
          <w:p w14:paraId="1F47B877">
            <w:pPr>
              <w:pStyle w:val="14"/>
              <w:ind w:firstLine="0" w:firstLineChars="0"/>
              <w:jc w:val="center"/>
              <w:rPr>
                <w:rFonts w:ascii="Times New Roman"/>
                <w:sz w:val="18"/>
                <w:szCs w:val="18"/>
              </w:rPr>
            </w:pPr>
            <w:r>
              <w:rPr>
                <w:rFonts w:hint="eastAsia" w:ascii="Times New Roman"/>
                <w:sz w:val="18"/>
                <w:szCs w:val="18"/>
              </w:rPr>
              <w:t>质量引领</w:t>
            </w:r>
          </w:p>
        </w:tc>
        <w:tc>
          <w:tcPr>
            <w:tcW w:w="691" w:type="dxa"/>
            <w:vMerge w:val="restart"/>
            <w:tcBorders>
              <w:top w:val="nil"/>
              <w:left w:val="nil"/>
            </w:tcBorders>
            <w:vAlign w:val="center"/>
          </w:tcPr>
          <w:p w14:paraId="3AF20E6F">
            <w:pPr>
              <w:pStyle w:val="14"/>
              <w:ind w:firstLine="0" w:firstLineChars="0"/>
              <w:rPr>
                <w:rFonts w:ascii="Times New Roman"/>
                <w:sz w:val="18"/>
                <w:szCs w:val="18"/>
              </w:rPr>
            </w:pPr>
            <w:r>
              <w:rPr>
                <w:rFonts w:hint="eastAsia" w:ascii="Times New Roman"/>
                <w:sz w:val="18"/>
                <w:szCs w:val="18"/>
              </w:rPr>
              <w:t>感官指标</w:t>
            </w:r>
          </w:p>
        </w:tc>
        <w:tc>
          <w:tcPr>
            <w:tcW w:w="2132" w:type="dxa"/>
            <w:gridSpan w:val="2"/>
            <w:tcBorders>
              <w:left w:val="nil"/>
            </w:tcBorders>
          </w:tcPr>
          <w:p w14:paraId="07FB87EE">
            <w:pPr>
              <w:pStyle w:val="14"/>
              <w:ind w:firstLine="0" w:firstLineChars="0"/>
              <w:jc w:val="left"/>
              <w:rPr>
                <w:rFonts w:ascii="Times New Roman"/>
                <w:sz w:val="15"/>
                <w:szCs w:val="15"/>
              </w:rPr>
            </w:pPr>
            <w:r>
              <w:rPr>
                <w:rFonts w:hint="eastAsia" w:ascii="Times New Roman"/>
                <w:sz w:val="18"/>
                <w:szCs w:val="18"/>
              </w:rPr>
              <w:t>色泽</w:t>
            </w:r>
          </w:p>
        </w:tc>
        <w:tc>
          <w:tcPr>
            <w:tcW w:w="2608" w:type="dxa"/>
            <w:tcBorders>
              <w:left w:val="nil"/>
            </w:tcBorders>
          </w:tcPr>
          <w:p w14:paraId="2D339A43">
            <w:pPr>
              <w:pStyle w:val="14"/>
              <w:ind w:firstLine="0" w:firstLineChars="0"/>
              <w:rPr>
                <w:rFonts w:ascii="Times New Roman"/>
                <w:sz w:val="18"/>
                <w:szCs w:val="18"/>
              </w:rPr>
            </w:pPr>
            <w:r>
              <w:rPr>
                <w:rFonts w:hint="eastAsia" w:ascii="Times New Roman"/>
                <w:sz w:val="18"/>
                <w:szCs w:val="18"/>
              </w:rPr>
              <w:t>鲜黄精表面淡黄色或黄棕色，炮制后表面灰黄色或黄褐色，粗糙</w:t>
            </w:r>
          </w:p>
        </w:tc>
        <w:tc>
          <w:tcPr>
            <w:tcW w:w="2744" w:type="dxa"/>
            <w:vMerge w:val="restart"/>
            <w:tcBorders>
              <w:left w:val="nil"/>
            </w:tcBorders>
            <w:vAlign w:val="center"/>
          </w:tcPr>
          <w:p w14:paraId="563ADCC6">
            <w:pPr>
              <w:pStyle w:val="14"/>
              <w:ind w:firstLine="0" w:firstLineChars="0"/>
              <w:rPr>
                <w:rFonts w:ascii="Times New Roman"/>
                <w:sz w:val="18"/>
                <w:szCs w:val="18"/>
              </w:rPr>
            </w:pPr>
            <w:r>
              <w:rPr>
                <w:rFonts w:hint="eastAsia" w:ascii="Times New Roman"/>
                <w:sz w:val="18"/>
                <w:szCs w:val="18"/>
              </w:rPr>
              <w:t>查看产品检测</w:t>
            </w:r>
            <w:r>
              <w:rPr>
                <w:rFonts w:hint="eastAsia" w:ascii="Times New Roman"/>
                <w:color w:val="000000" w:themeColor="text1"/>
                <w:sz w:val="18"/>
                <w:szCs w:val="18"/>
              </w:rPr>
              <w:t>报告</w:t>
            </w:r>
            <w:r>
              <w:rPr>
                <w:rFonts w:ascii="Times New Roman"/>
                <w:color w:val="000000" w:themeColor="text1"/>
                <w:sz w:val="18"/>
                <w:szCs w:val="18"/>
              </w:rPr>
              <w:t>,</w:t>
            </w:r>
            <w:r>
              <w:rPr>
                <w:rFonts w:hint="eastAsia" w:ascii="Times New Roman"/>
                <w:color w:val="000000" w:themeColor="text1"/>
                <w:sz w:val="18"/>
                <w:szCs w:val="18"/>
              </w:rPr>
              <w:t>按照《中华人民共和国药典》</w:t>
            </w:r>
            <w:r>
              <w:rPr>
                <w:rFonts w:ascii="Times New Roman"/>
                <w:color w:val="000000" w:themeColor="text1"/>
                <w:sz w:val="18"/>
                <w:szCs w:val="18"/>
              </w:rPr>
              <w:t xml:space="preserve">(2020 </w:t>
            </w:r>
            <w:r>
              <w:rPr>
                <w:rFonts w:hint="eastAsia" w:ascii="Times New Roman"/>
                <w:color w:val="000000" w:themeColor="text1"/>
                <w:sz w:val="18"/>
                <w:szCs w:val="18"/>
              </w:rPr>
              <w:t>版四部通则</w:t>
            </w:r>
            <w:r>
              <w:rPr>
                <w:rFonts w:ascii="Times New Roman"/>
                <w:color w:val="000000" w:themeColor="text1"/>
                <w:sz w:val="18"/>
                <w:szCs w:val="18"/>
              </w:rPr>
              <w:t>0211)</w:t>
            </w:r>
            <w:r>
              <w:rPr>
                <w:rFonts w:hint="eastAsia" w:ascii="Times New Roman"/>
                <w:color w:val="000000" w:themeColor="text1"/>
                <w:sz w:val="18"/>
                <w:szCs w:val="18"/>
              </w:rPr>
              <w:t>“药材和饮片取样法”取样</w:t>
            </w:r>
            <w:r>
              <w:rPr>
                <w:rFonts w:ascii="Times New Roman"/>
                <w:color w:val="000000" w:themeColor="text1"/>
                <w:sz w:val="18"/>
                <w:szCs w:val="18"/>
              </w:rPr>
              <w:t>,</w:t>
            </w:r>
            <w:r>
              <w:rPr>
                <w:rFonts w:hint="eastAsia" w:ascii="Times New Roman"/>
                <w:color w:val="000000" w:themeColor="text1"/>
                <w:sz w:val="18"/>
                <w:szCs w:val="18"/>
              </w:rPr>
              <w:t>按照按《中华人民共和国药典》</w:t>
            </w:r>
            <w:r>
              <w:rPr>
                <w:rFonts w:ascii="Times New Roman"/>
                <w:color w:val="000000" w:themeColor="text1"/>
                <w:sz w:val="18"/>
                <w:szCs w:val="18"/>
              </w:rPr>
              <w:t>(2020</w:t>
            </w:r>
            <w:r>
              <w:rPr>
                <w:rFonts w:hint="eastAsia" w:ascii="Times New Roman"/>
                <w:color w:val="000000" w:themeColor="text1"/>
                <w:sz w:val="18"/>
                <w:szCs w:val="18"/>
              </w:rPr>
              <w:t>版一部</w:t>
            </w:r>
            <w:r>
              <w:rPr>
                <w:rFonts w:ascii="Times New Roman"/>
                <w:color w:val="000000" w:themeColor="text1"/>
                <w:sz w:val="18"/>
                <w:szCs w:val="18"/>
              </w:rPr>
              <w:t>)</w:t>
            </w:r>
            <w:r>
              <w:rPr>
                <w:rFonts w:hint="eastAsia" w:ascii="Times New Roman"/>
                <w:color w:val="000000" w:themeColor="text1"/>
                <w:sz w:val="18"/>
                <w:szCs w:val="18"/>
              </w:rPr>
              <w:t>“黄精”质量标准中“性状”项下方法查看感官指标。</w:t>
            </w:r>
          </w:p>
        </w:tc>
      </w:tr>
      <w:tr w14:paraId="239C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749" w:type="dxa"/>
            <w:vMerge w:val="restart"/>
            <w:vAlign w:val="center"/>
          </w:tcPr>
          <w:p w14:paraId="72EAE542">
            <w:pPr>
              <w:pStyle w:val="14"/>
              <w:ind w:firstLine="0" w:firstLineChars="0"/>
              <w:jc w:val="center"/>
              <w:rPr>
                <w:rFonts w:ascii="Times New Roman"/>
                <w:sz w:val="18"/>
                <w:szCs w:val="18"/>
              </w:rPr>
            </w:pPr>
            <w:r>
              <w:rPr>
                <w:rFonts w:ascii="Times New Roman"/>
                <w:sz w:val="18"/>
                <w:szCs w:val="18"/>
              </w:rPr>
              <w:t>14</w:t>
            </w:r>
          </w:p>
        </w:tc>
        <w:tc>
          <w:tcPr>
            <w:tcW w:w="647" w:type="dxa"/>
            <w:vMerge w:val="continue"/>
            <w:tcBorders>
              <w:left w:val="nil"/>
            </w:tcBorders>
            <w:vAlign w:val="center"/>
          </w:tcPr>
          <w:p w14:paraId="589723D1">
            <w:pPr>
              <w:pStyle w:val="14"/>
              <w:ind w:firstLine="360"/>
              <w:jc w:val="center"/>
              <w:rPr>
                <w:rFonts w:ascii="Times New Roman"/>
                <w:sz w:val="18"/>
                <w:szCs w:val="18"/>
              </w:rPr>
            </w:pPr>
          </w:p>
        </w:tc>
        <w:tc>
          <w:tcPr>
            <w:tcW w:w="691" w:type="dxa"/>
            <w:vMerge w:val="continue"/>
            <w:tcBorders>
              <w:top w:val="nil"/>
              <w:left w:val="nil"/>
            </w:tcBorders>
            <w:vAlign w:val="center"/>
          </w:tcPr>
          <w:p w14:paraId="25A7CCB6">
            <w:pPr>
              <w:pStyle w:val="14"/>
              <w:ind w:firstLine="360"/>
              <w:rPr>
                <w:rFonts w:ascii="Times New Roman"/>
                <w:sz w:val="18"/>
                <w:szCs w:val="18"/>
              </w:rPr>
            </w:pPr>
          </w:p>
        </w:tc>
        <w:tc>
          <w:tcPr>
            <w:tcW w:w="753" w:type="dxa"/>
            <w:vMerge w:val="restart"/>
            <w:tcBorders>
              <w:left w:val="nil"/>
            </w:tcBorders>
            <w:vAlign w:val="center"/>
          </w:tcPr>
          <w:p w14:paraId="04E4C529">
            <w:pPr>
              <w:pStyle w:val="14"/>
              <w:ind w:firstLine="0" w:firstLineChars="0"/>
              <w:jc w:val="center"/>
              <w:rPr>
                <w:rFonts w:ascii="Times New Roman"/>
                <w:sz w:val="18"/>
                <w:szCs w:val="18"/>
              </w:rPr>
            </w:pPr>
            <w:r>
              <w:rPr>
                <w:rFonts w:hint="eastAsia" w:ascii="Times New Roman"/>
                <w:sz w:val="18"/>
                <w:szCs w:val="18"/>
              </w:rPr>
              <w:t>外观</w:t>
            </w:r>
          </w:p>
        </w:tc>
        <w:tc>
          <w:tcPr>
            <w:tcW w:w="1379" w:type="dxa"/>
            <w:tcBorders>
              <w:left w:val="nil"/>
            </w:tcBorders>
          </w:tcPr>
          <w:p w14:paraId="6B3780DB">
            <w:pPr>
              <w:pStyle w:val="14"/>
              <w:ind w:firstLine="0" w:firstLineChars="0"/>
              <w:rPr>
                <w:rFonts w:ascii="Times New Roman"/>
                <w:sz w:val="18"/>
                <w:szCs w:val="18"/>
              </w:rPr>
            </w:pPr>
            <w:r>
              <w:rPr>
                <w:rFonts w:hint="eastAsia"/>
                <w:sz w:val="18"/>
                <w:szCs w:val="18"/>
              </w:rPr>
              <w:t>多花黄精</w:t>
            </w:r>
          </w:p>
        </w:tc>
        <w:tc>
          <w:tcPr>
            <w:tcW w:w="2608" w:type="dxa"/>
            <w:tcBorders>
              <w:left w:val="nil"/>
            </w:tcBorders>
          </w:tcPr>
          <w:p w14:paraId="418589C7">
            <w:pPr>
              <w:pStyle w:val="14"/>
              <w:ind w:firstLine="0" w:firstLineChars="0"/>
              <w:rPr>
                <w:rFonts w:ascii="Times New Roman"/>
                <w:sz w:val="18"/>
                <w:szCs w:val="18"/>
              </w:rPr>
            </w:pPr>
            <w:r>
              <w:rPr>
                <w:rFonts w:hint="eastAsia"/>
                <w:sz w:val="18"/>
                <w:szCs w:val="18"/>
              </w:rPr>
              <w:t>长条结节块状，长短不等，常数个块状结节相连</w:t>
            </w:r>
            <w:r>
              <w:rPr>
                <w:rFonts w:hint="eastAsia" w:ascii="Times New Roman"/>
                <w:sz w:val="18"/>
                <w:szCs w:val="18"/>
              </w:rPr>
              <w:t>表面有皱纹及须根痕，结节上有突出的圆盘状茎痕，圆周凹入</w:t>
            </w:r>
          </w:p>
        </w:tc>
        <w:tc>
          <w:tcPr>
            <w:tcW w:w="2744" w:type="dxa"/>
            <w:vMerge w:val="continue"/>
            <w:tcBorders>
              <w:left w:val="nil"/>
            </w:tcBorders>
            <w:vAlign w:val="center"/>
          </w:tcPr>
          <w:p w14:paraId="371F0DF3">
            <w:pPr>
              <w:pStyle w:val="14"/>
              <w:ind w:firstLine="360"/>
              <w:rPr>
                <w:rFonts w:ascii="Times New Roman"/>
                <w:sz w:val="18"/>
                <w:szCs w:val="18"/>
              </w:rPr>
            </w:pPr>
          </w:p>
        </w:tc>
      </w:tr>
      <w:tr w14:paraId="211F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749" w:type="dxa"/>
            <w:vMerge w:val="continue"/>
            <w:vAlign w:val="center"/>
          </w:tcPr>
          <w:p w14:paraId="0401B14D">
            <w:pPr>
              <w:pStyle w:val="14"/>
              <w:ind w:firstLine="0" w:firstLineChars="0"/>
              <w:jc w:val="center"/>
              <w:rPr>
                <w:sz w:val="18"/>
                <w:szCs w:val="18"/>
              </w:rPr>
            </w:pPr>
          </w:p>
        </w:tc>
        <w:tc>
          <w:tcPr>
            <w:tcW w:w="647" w:type="dxa"/>
            <w:vMerge w:val="continue"/>
            <w:tcBorders>
              <w:left w:val="nil"/>
            </w:tcBorders>
            <w:vAlign w:val="center"/>
          </w:tcPr>
          <w:p w14:paraId="3803DAC2">
            <w:pPr>
              <w:pStyle w:val="14"/>
              <w:ind w:firstLine="0" w:firstLineChars="0"/>
              <w:jc w:val="center"/>
              <w:rPr>
                <w:sz w:val="18"/>
                <w:szCs w:val="18"/>
              </w:rPr>
            </w:pPr>
          </w:p>
        </w:tc>
        <w:tc>
          <w:tcPr>
            <w:tcW w:w="691" w:type="dxa"/>
            <w:vMerge w:val="continue"/>
            <w:tcBorders>
              <w:left w:val="nil"/>
            </w:tcBorders>
            <w:vAlign w:val="center"/>
          </w:tcPr>
          <w:p w14:paraId="186B1EBC">
            <w:pPr>
              <w:pStyle w:val="14"/>
              <w:ind w:firstLine="0" w:firstLineChars="0"/>
              <w:rPr>
                <w:sz w:val="18"/>
                <w:szCs w:val="18"/>
              </w:rPr>
            </w:pPr>
          </w:p>
        </w:tc>
        <w:tc>
          <w:tcPr>
            <w:tcW w:w="753" w:type="dxa"/>
            <w:vMerge w:val="continue"/>
            <w:tcBorders>
              <w:left w:val="nil"/>
            </w:tcBorders>
          </w:tcPr>
          <w:p w14:paraId="00D32D53">
            <w:pPr>
              <w:pStyle w:val="14"/>
              <w:ind w:firstLine="0" w:firstLineChars="0"/>
              <w:rPr>
                <w:sz w:val="18"/>
                <w:szCs w:val="18"/>
              </w:rPr>
            </w:pPr>
          </w:p>
        </w:tc>
        <w:tc>
          <w:tcPr>
            <w:tcW w:w="1379" w:type="dxa"/>
            <w:tcBorders>
              <w:left w:val="nil"/>
            </w:tcBorders>
          </w:tcPr>
          <w:p w14:paraId="53F01317">
            <w:pPr>
              <w:pStyle w:val="14"/>
              <w:ind w:firstLine="0" w:firstLineChars="0"/>
              <w:rPr>
                <w:sz w:val="18"/>
                <w:szCs w:val="18"/>
              </w:rPr>
            </w:pPr>
            <w:r>
              <w:rPr>
                <w:rFonts w:hint="eastAsia"/>
                <w:sz w:val="18"/>
                <w:szCs w:val="18"/>
              </w:rPr>
              <w:t>大叶黄精</w:t>
            </w:r>
          </w:p>
        </w:tc>
        <w:tc>
          <w:tcPr>
            <w:tcW w:w="2608" w:type="dxa"/>
            <w:tcBorders>
              <w:left w:val="nil"/>
            </w:tcBorders>
          </w:tcPr>
          <w:p w14:paraId="1E53470B">
            <w:pPr>
              <w:pStyle w:val="14"/>
              <w:ind w:firstLine="0" w:firstLineChars="0"/>
              <w:rPr>
                <w:sz w:val="18"/>
                <w:szCs w:val="18"/>
              </w:rPr>
            </w:pPr>
            <w:r>
              <w:rPr>
                <w:rFonts w:hint="eastAsia"/>
                <w:sz w:val="18"/>
                <w:szCs w:val="18"/>
              </w:rPr>
              <w:t>滇黄精的变种，外观与滇黄精相似，</w:t>
            </w:r>
            <w:r>
              <w:rPr>
                <w:rFonts w:hint="eastAsia" w:ascii="Times New Roman"/>
                <w:sz w:val="18"/>
                <w:szCs w:val="18"/>
              </w:rPr>
              <w:t>呈肥厚肉质的结节块状具环节，有皱纹及须根痕，结节上侧茎痕呈圆盘状，圆周凹入，中部突出</w:t>
            </w:r>
          </w:p>
        </w:tc>
        <w:tc>
          <w:tcPr>
            <w:tcW w:w="2744" w:type="dxa"/>
            <w:vMerge w:val="continue"/>
            <w:tcBorders>
              <w:left w:val="nil"/>
            </w:tcBorders>
            <w:vAlign w:val="center"/>
          </w:tcPr>
          <w:p w14:paraId="2C6A0B97">
            <w:pPr>
              <w:pStyle w:val="14"/>
              <w:ind w:firstLine="0" w:firstLineChars="0"/>
              <w:rPr>
                <w:sz w:val="18"/>
                <w:szCs w:val="18"/>
              </w:rPr>
            </w:pPr>
          </w:p>
        </w:tc>
      </w:tr>
      <w:tr w14:paraId="61F8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749" w:type="dxa"/>
            <w:vAlign w:val="center"/>
          </w:tcPr>
          <w:p w14:paraId="67D302A6">
            <w:pPr>
              <w:pStyle w:val="14"/>
              <w:ind w:firstLine="0" w:firstLineChars="0"/>
              <w:jc w:val="center"/>
              <w:rPr>
                <w:rFonts w:ascii="Times New Roman"/>
                <w:sz w:val="18"/>
                <w:szCs w:val="18"/>
              </w:rPr>
            </w:pPr>
            <w:r>
              <w:rPr>
                <w:rFonts w:ascii="Times New Roman"/>
                <w:sz w:val="18"/>
                <w:szCs w:val="18"/>
              </w:rPr>
              <w:t>15</w:t>
            </w:r>
          </w:p>
        </w:tc>
        <w:tc>
          <w:tcPr>
            <w:tcW w:w="647" w:type="dxa"/>
            <w:vMerge w:val="continue"/>
            <w:tcBorders>
              <w:left w:val="nil"/>
            </w:tcBorders>
            <w:vAlign w:val="center"/>
          </w:tcPr>
          <w:p w14:paraId="2F409FC8">
            <w:pPr>
              <w:pStyle w:val="14"/>
              <w:ind w:firstLine="360"/>
              <w:jc w:val="center"/>
              <w:rPr>
                <w:rFonts w:ascii="Times New Roman"/>
                <w:sz w:val="18"/>
                <w:szCs w:val="18"/>
              </w:rPr>
            </w:pPr>
          </w:p>
        </w:tc>
        <w:tc>
          <w:tcPr>
            <w:tcW w:w="691" w:type="dxa"/>
            <w:vMerge w:val="continue"/>
            <w:tcBorders>
              <w:top w:val="nil"/>
              <w:left w:val="nil"/>
            </w:tcBorders>
            <w:vAlign w:val="center"/>
          </w:tcPr>
          <w:p w14:paraId="11599B5A">
            <w:pPr>
              <w:pStyle w:val="14"/>
              <w:ind w:firstLine="360"/>
              <w:rPr>
                <w:rFonts w:ascii="Times New Roman"/>
                <w:sz w:val="18"/>
                <w:szCs w:val="18"/>
              </w:rPr>
            </w:pPr>
          </w:p>
        </w:tc>
        <w:tc>
          <w:tcPr>
            <w:tcW w:w="2132" w:type="dxa"/>
            <w:gridSpan w:val="2"/>
            <w:tcBorders>
              <w:left w:val="nil"/>
            </w:tcBorders>
          </w:tcPr>
          <w:p w14:paraId="654FB69A">
            <w:pPr>
              <w:pStyle w:val="14"/>
              <w:ind w:firstLine="0" w:firstLineChars="0"/>
              <w:rPr>
                <w:rFonts w:ascii="Times New Roman"/>
                <w:sz w:val="18"/>
                <w:szCs w:val="18"/>
              </w:rPr>
            </w:pPr>
            <w:r>
              <w:rPr>
                <w:rFonts w:hint="eastAsia" w:ascii="Times New Roman"/>
                <w:sz w:val="18"/>
                <w:szCs w:val="18"/>
              </w:rPr>
              <w:t>断面、质地</w:t>
            </w:r>
          </w:p>
        </w:tc>
        <w:tc>
          <w:tcPr>
            <w:tcW w:w="2608" w:type="dxa"/>
            <w:tcBorders>
              <w:left w:val="nil"/>
            </w:tcBorders>
          </w:tcPr>
          <w:p w14:paraId="006B2AFE">
            <w:pPr>
              <w:pStyle w:val="14"/>
              <w:ind w:firstLine="0" w:firstLineChars="0"/>
              <w:rPr>
                <w:rFonts w:ascii="Times New Roman"/>
                <w:sz w:val="18"/>
                <w:szCs w:val="18"/>
              </w:rPr>
            </w:pPr>
            <w:r>
              <w:rPr>
                <w:rFonts w:hint="eastAsia" w:ascii="Times New Roman"/>
                <w:sz w:val="18"/>
                <w:szCs w:val="18"/>
              </w:rPr>
              <w:t>鲜黄精断面呈淡黄色至黄棕色，质脆，易折断；炮制后断面灰黄色或黄褐色，质稍硬而韧，不易折断，</w:t>
            </w:r>
            <w:r>
              <w:rPr>
                <w:sz w:val="18"/>
                <w:szCs w:val="18"/>
              </w:rPr>
              <w:t>嚼之有黏性</w:t>
            </w:r>
          </w:p>
        </w:tc>
        <w:tc>
          <w:tcPr>
            <w:tcW w:w="2744" w:type="dxa"/>
            <w:vMerge w:val="continue"/>
            <w:tcBorders>
              <w:left w:val="nil"/>
            </w:tcBorders>
            <w:vAlign w:val="center"/>
          </w:tcPr>
          <w:p w14:paraId="3A414C07">
            <w:pPr>
              <w:pStyle w:val="14"/>
              <w:ind w:firstLine="360"/>
              <w:rPr>
                <w:rFonts w:ascii="Times New Roman"/>
                <w:sz w:val="18"/>
                <w:szCs w:val="18"/>
              </w:rPr>
            </w:pPr>
          </w:p>
        </w:tc>
      </w:tr>
      <w:tr w14:paraId="2B77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49" w:type="dxa"/>
            <w:vAlign w:val="center"/>
          </w:tcPr>
          <w:p w14:paraId="51F5436A">
            <w:pPr>
              <w:pStyle w:val="14"/>
              <w:ind w:firstLine="0" w:firstLineChars="0"/>
              <w:jc w:val="center"/>
              <w:rPr>
                <w:rFonts w:ascii="Times New Roman"/>
                <w:sz w:val="18"/>
                <w:szCs w:val="18"/>
              </w:rPr>
            </w:pPr>
            <w:r>
              <w:rPr>
                <w:rFonts w:ascii="Times New Roman"/>
                <w:sz w:val="18"/>
                <w:szCs w:val="18"/>
              </w:rPr>
              <w:t>16</w:t>
            </w:r>
          </w:p>
        </w:tc>
        <w:tc>
          <w:tcPr>
            <w:tcW w:w="647" w:type="dxa"/>
            <w:vMerge w:val="continue"/>
            <w:tcBorders>
              <w:left w:val="nil"/>
            </w:tcBorders>
            <w:vAlign w:val="center"/>
          </w:tcPr>
          <w:p w14:paraId="42292F47">
            <w:pPr>
              <w:pStyle w:val="14"/>
              <w:ind w:firstLine="360"/>
              <w:jc w:val="center"/>
              <w:rPr>
                <w:rFonts w:ascii="Times New Roman"/>
                <w:sz w:val="18"/>
                <w:szCs w:val="18"/>
              </w:rPr>
            </w:pPr>
          </w:p>
        </w:tc>
        <w:tc>
          <w:tcPr>
            <w:tcW w:w="691" w:type="dxa"/>
            <w:vMerge w:val="continue"/>
            <w:tcBorders>
              <w:top w:val="nil"/>
              <w:left w:val="nil"/>
            </w:tcBorders>
            <w:vAlign w:val="center"/>
          </w:tcPr>
          <w:p w14:paraId="0A653B68">
            <w:pPr>
              <w:pStyle w:val="14"/>
              <w:ind w:firstLine="360"/>
              <w:rPr>
                <w:rFonts w:ascii="Times New Roman"/>
                <w:sz w:val="18"/>
                <w:szCs w:val="18"/>
              </w:rPr>
            </w:pPr>
          </w:p>
        </w:tc>
        <w:tc>
          <w:tcPr>
            <w:tcW w:w="2132" w:type="dxa"/>
            <w:gridSpan w:val="2"/>
            <w:tcBorders>
              <w:left w:val="nil"/>
            </w:tcBorders>
          </w:tcPr>
          <w:p w14:paraId="52FC6823">
            <w:pPr>
              <w:pStyle w:val="14"/>
              <w:ind w:firstLine="0" w:firstLineChars="0"/>
              <w:rPr>
                <w:rFonts w:ascii="Times New Roman"/>
                <w:sz w:val="18"/>
                <w:szCs w:val="18"/>
              </w:rPr>
            </w:pPr>
            <w:r>
              <w:rPr>
                <w:rFonts w:hint="eastAsia" w:ascii="Times New Roman"/>
                <w:sz w:val="18"/>
                <w:szCs w:val="18"/>
              </w:rPr>
              <w:t>气味</w:t>
            </w:r>
          </w:p>
        </w:tc>
        <w:tc>
          <w:tcPr>
            <w:tcW w:w="2608" w:type="dxa"/>
            <w:tcBorders>
              <w:left w:val="nil"/>
            </w:tcBorders>
          </w:tcPr>
          <w:p w14:paraId="708571F9">
            <w:pPr>
              <w:pStyle w:val="14"/>
              <w:ind w:firstLine="0" w:firstLineChars="0"/>
              <w:rPr>
                <w:rFonts w:ascii="Times New Roman"/>
                <w:sz w:val="18"/>
                <w:szCs w:val="18"/>
              </w:rPr>
            </w:pPr>
            <w:r>
              <w:rPr>
                <w:rFonts w:hint="eastAsia" w:ascii="Times New Roman"/>
                <w:sz w:val="18"/>
                <w:szCs w:val="18"/>
              </w:rPr>
              <w:t>气微，味甜</w:t>
            </w:r>
          </w:p>
        </w:tc>
        <w:tc>
          <w:tcPr>
            <w:tcW w:w="2744" w:type="dxa"/>
            <w:vMerge w:val="continue"/>
            <w:tcBorders>
              <w:left w:val="nil"/>
            </w:tcBorders>
            <w:vAlign w:val="center"/>
          </w:tcPr>
          <w:p w14:paraId="39BDEC0B">
            <w:pPr>
              <w:pStyle w:val="14"/>
              <w:ind w:firstLine="360"/>
              <w:rPr>
                <w:rFonts w:ascii="Times New Roman"/>
                <w:sz w:val="18"/>
                <w:szCs w:val="18"/>
              </w:rPr>
            </w:pPr>
          </w:p>
        </w:tc>
      </w:tr>
      <w:tr w14:paraId="5781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749" w:type="dxa"/>
            <w:tcBorders>
              <w:bottom w:val="single" w:color="auto" w:sz="4" w:space="0"/>
              <w:right w:val="single" w:color="auto" w:sz="4" w:space="0"/>
            </w:tcBorders>
            <w:vAlign w:val="center"/>
          </w:tcPr>
          <w:p w14:paraId="5158871B">
            <w:pPr>
              <w:pStyle w:val="14"/>
              <w:ind w:firstLine="0" w:firstLineChars="0"/>
              <w:jc w:val="center"/>
              <w:rPr>
                <w:rFonts w:ascii="Times New Roman"/>
                <w:sz w:val="18"/>
                <w:szCs w:val="18"/>
              </w:rPr>
            </w:pPr>
            <w:r>
              <w:rPr>
                <w:rFonts w:ascii="Times New Roman"/>
                <w:sz w:val="18"/>
                <w:szCs w:val="18"/>
              </w:rPr>
              <w:t>17</w:t>
            </w:r>
          </w:p>
        </w:tc>
        <w:tc>
          <w:tcPr>
            <w:tcW w:w="647" w:type="dxa"/>
            <w:vMerge w:val="continue"/>
            <w:tcBorders>
              <w:left w:val="single" w:color="auto" w:sz="4" w:space="0"/>
            </w:tcBorders>
            <w:vAlign w:val="center"/>
          </w:tcPr>
          <w:p w14:paraId="01B06B33">
            <w:pPr>
              <w:pStyle w:val="14"/>
              <w:ind w:firstLine="360"/>
              <w:jc w:val="center"/>
              <w:rPr>
                <w:rFonts w:ascii="Times New Roman"/>
                <w:sz w:val="18"/>
                <w:szCs w:val="18"/>
              </w:rPr>
            </w:pPr>
          </w:p>
        </w:tc>
        <w:tc>
          <w:tcPr>
            <w:tcW w:w="691" w:type="dxa"/>
            <w:vMerge w:val="restart"/>
            <w:tcBorders>
              <w:bottom w:val="single" w:color="auto" w:sz="4" w:space="0"/>
              <w:right w:val="single" w:color="auto" w:sz="4" w:space="0"/>
            </w:tcBorders>
            <w:vAlign w:val="center"/>
          </w:tcPr>
          <w:p w14:paraId="29923F98">
            <w:pPr>
              <w:pStyle w:val="14"/>
              <w:ind w:firstLine="0" w:firstLineChars="0"/>
              <w:rPr>
                <w:rFonts w:ascii="Times New Roman"/>
                <w:sz w:val="18"/>
                <w:szCs w:val="18"/>
              </w:rPr>
            </w:pPr>
            <w:r>
              <w:rPr>
                <w:rFonts w:hint="eastAsia" w:ascii="Times New Roman"/>
                <w:sz w:val="18"/>
                <w:szCs w:val="18"/>
              </w:rPr>
              <w:t>理化指标</w:t>
            </w:r>
          </w:p>
        </w:tc>
        <w:tc>
          <w:tcPr>
            <w:tcW w:w="2132" w:type="dxa"/>
            <w:gridSpan w:val="2"/>
            <w:tcBorders>
              <w:left w:val="single" w:color="auto" w:sz="4" w:space="0"/>
              <w:bottom w:val="single" w:color="auto" w:sz="4" w:space="0"/>
              <w:right w:val="single" w:color="auto" w:sz="4" w:space="0"/>
            </w:tcBorders>
          </w:tcPr>
          <w:p w14:paraId="06EEF32A">
            <w:pPr>
              <w:pStyle w:val="14"/>
              <w:ind w:firstLine="0" w:firstLineChars="0"/>
              <w:rPr>
                <w:rFonts w:ascii="Times New Roman"/>
                <w:sz w:val="18"/>
                <w:szCs w:val="18"/>
              </w:rPr>
            </w:pPr>
            <w:r>
              <w:rPr>
                <w:rFonts w:hint="eastAsia" w:ascii="Times New Roman"/>
                <w:sz w:val="18"/>
                <w:szCs w:val="18"/>
              </w:rPr>
              <w:t>水分</w:t>
            </w:r>
            <w:r>
              <w:rPr>
                <w:rFonts w:ascii="Times New Roman"/>
                <w:sz w:val="18"/>
                <w:szCs w:val="18"/>
              </w:rPr>
              <w:t>/</w:t>
            </w:r>
            <w:r>
              <w:rPr>
                <w:rFonts w:hint="eastAsia" w:ascii="Times New Roman"/>
                <w:sz w:val="18"/>
                <w:szCs w:val="18"/>
              </w:rPr>
              <w:t>（</w:t>
            </w:r>
            <w:r>
              <w:rPr>
                <w:rFonts w:ascii="Times New Roman"/>
                <w:sz w:val="18"/>
                <w:szCs w:val="18"/>
              </w:rPr>
              <w:t>%</w:t>
            </w:r>
            <w:r>
              <w:rPr>
                <w:rFonts w:hint="eastAsia" w:ascii="Times New Roman"/>
                <w:sz w:val="18"/>
                <w:szCs w:val="18"/>
              </w:rPr>
              <w:t>）≤</w:t>
            </w:r>
          </w:p>
        </w:tc>
        <w:tc>
          <w:tcPr>
            <w:tcW w:w="2608" w:type="dxa"/>
            <w:tcBorders>
              <w:left w:val="single" w:color="auto" w:sz="4" w:space="0"/>
              <w:bottom w:val="single" w:color="auto" w:sz="4" w:space="0"/>
              <w:right w:val="single" w:color="auto" w:sz="4" w:space="0"/>
            </w:tcBorders>
            <w:vAlign w:val="center"/>
          </w:tcPr>
          <w:p w14:paraId="0E565B82">
            <w:pPr>
              <w:pStyle w:val="14"/>
              <w:tabs>
                <w:tab w:val="left" w:pos="417"/>
                <w:tab w:val="clear" w:pos="4201"/>
              </w:tabs>
              <w:ind w:firstLine="0" w:firstLineChars="0"/>
              <w:rPr>
                <w:rFonts w:ascii="Times New Roman"/>
                <w:sz w:val="18"/>
                <w:szCs w:val="18"/>
              </w:rPr>
            </w:pPr>
            <w:r>
              <w:rPr>
                <w:rFonts w:hint="eastAsia" w:ascii="Times New Roman"/>
                <w:sz w:val="18"/>
                <w:szCs w:val="18"/>
              </w:rPr>
              <w:t>18.0</w:t>
            </w:r>
          </w:p>
        </w:tc>
        <w:tc>
          <w:tcPr>
            <w:tcW w:w="2744" w:type="dxa"/>
            <w:vMerge w:val="restart"/>
            <w:tcBorders>
              <w:left w:val="single" w:color="auto" w:sz="4" w:space="0"/>
              <w:bottom w:val="single" w:color="auto" w:sz="4" w:space="0"/>
            </w:tcBorders>
          </w:tcPr>
          <w:p w14:paraId="741AD307">
            <w:pPr>
              <w:pStyle w:val="14"/>
              <w:ind w:firstLine="0" w:firstLineChars="0"/>
              <w:rPr>
                <w:rFonts w:ascii="Times New Roman"/>
                <w:sz w:val="18"/>
                <w:szCs w:val="18"/>
              </w:rPr>
            </w:pPr>
            <w:r>
              <w:rPr>
                <w:rFonts w:hint="eastAsia" w:ascii="Times New Roman"/>
                <w:sz w:val="18"/>
                <w:szCs w:val="18"/>
              </w:rPr>
              <w:t>查看产品检测报告：</w:t>
            </w:r>
          </w:p>
          <w:p w14:paraId="6C8BF3DD">
            <w:pPr>
              <w:pStyle w:val="14"/>
              <w:ind w:firstLine="0" w:firstLineChars="0"/>
              <w:rPr>
                <w:rFonts w:ascii="Times New Roman"/>
                <w:color w:val="000000" w:themeColor="text1"/>
                <w:sz w:val="18"/>
                <w:szCs w:val="18"/>
              </w:rPr>
            </w:pPr>
            <w:r>
              <w:rPr>
                <w:rFonts w:ascii="Times New Roman"/>
                <w:sz w:val="18"/>
                <w:szCs w:val="18"/>
              </w:rPr>
              <w:t>(1)</w:t>
            </w:r>
            <w:r>
              <w:rPr>
                <w:rFonts w:hint="eastAsia" w:ascii="Times New Roman"/>
                <w:sz w:val="18"/>
                <w:szCs w:val="18"/>
              </w:rPr>
              <w:t>水分测定：</w:t>
            </w:r>
            <w:r>
              <w:rPr>
                <w:rFonts w:hint="eastAsia" w:ascii="Times New Roman"/>
                <w:color w:val="000000" w:themeColor="text1"/>
                <w:sz w:val="18"/>
                <w:szCs w:val="18"/>
              </w:rPr>
              <w:t>按GB 5009.3测定</w:t>
            </w:r>
            <w:r>
              <w:rPr>
                <w:rFonts w:ascii="Times New Roman"/>
                <w:color w:val="000000" w:themeColor="text1"/>
                <w:sz w:val="18"/>
                <w:szCs w:val="18"/>
              </w:rPr>
              <w:t>;</w:t>
            </w:r>
          </w:p>
          <w:p w14:paraId="06E83777">
            <w:pPr>
              <w:pStyle w:val="14"/>
              <w:ind w:firstLine="0" w:firstLineChars="0"/>
              <w:rPr>
                <w:rFonts w:ascii="Times New Roman"/>
                <w:color w:val="000000" w:themeColor="text1"/>
                <w:sz w:val="18"/>
                <w:szCs w:val="18"/>
              </w:rPr>
            </w:pPr>
            <w:r>
              <w:rPr>
                <w:rFonts w:ascii="Times New Roman"/>
                <w:color w:val="000000" w:themeColor="text1"/>
                <w:sz w:val="18"/>
                <w:szCs w:val="18"/>
              </w:rPr>
              <w:t>(2)</w:t>
            </w:r>
            <w:r>
              <w:rPr>
                <w:rFonts w:hint="eastAsia" w:ascii="Times New Roman"/>
                <w:color w:val="000000" w:themeColor="text1"/>
                <w:sz w:val="18"/>
                <w:szCs w:val="18"/>
              </w:rPr>
              <w:t>总灰分测定：按GB 5009.4测定</w:t>
            </w:r>
            <w:r>
              <w:rPr>
                <w:rFonts w:ascii="Times New Roman"/>
                <w:color w:val="000000" w:themeColor="text1"/>
                <w:sz w:val="18"/>
                <w:szCs w:val="18"/>
              </w:rPr>
              <w:t>;</w:t>
            </w:r>
          </w:p>
          <w:p w14:paraId="4520F7A9">
            <w:pPr>
              <w:pStyle w:val="14"/>
              <w:ind w:firstLine="0" w:firstLineChars="0"/>
              <w:rPr>
                <w:rFonts w:ascii="Times New Roman"/>
                <w:color w:val="000000" w:themeColor="text1"/>
                <w:sz w:val="18"/>
                <w:szCs w:val="18"/>
              </w:rPr>
            </w:pPr>
            <w:r>
              <w:rPr>
                <w:rFonts w:ascii="Times New Roman"/>
                <w:color w:val="000000" w:themeColor="text1"/>
                <w:sz w:val="18"/>
                <w:szCs w:val="18"/>
              </w:rPr>
              <w:t>(3)</w:t>
            </w:r>
            <w:r>
              <w:rPr>
                <w:rFonts w:hint="eastAsia" w:ascii="Times New Roman"/>
                <w:color w:val="000000" w:themeColor="text1"/>
                <w:sz w:val="18"/>
                <w:szCs w:val="18"/>
              </w:rPr>
              <w:t>浸出物测定：按《中华人民共和国药典》</w:t>
            </w:r>
            <w:r>
              <w:rPr>
                <w:rFonts w:ascii="Times New Roman"/>
                <w:color w:val="000000" w:themeColor="text1"/>
                <w:sz w:val="18"/>
                <w:szCs w:val="18"/>
              </w:rPr>
              <w:t xml:space="preserve">(2020 </w:t>
            </w:r>
            <w:r>
              <w:rPr>
                <w:rFonts w:hint="eastAsia" w:ascii="Times New Roman"/>
                <w:color w:val="000000" w:themeColor="text1"/>
                <w:sz w:val="18"/>
                <w:szCs w:val="18"/>
              </w:rPr>
              <w:t>版四部通则</w:t>
            </w:r>
            <w:r>
              <w:rPr>
                <w:rFonts w:ascii="Times New Roman"/>
                <w:color w:val="000000" w:themeColor="text1"/>
                <w:sz w:val="18"/>
                <w:szCs w:val="18"/>
              </w:rPr>
              <w:t>2201)</w:t>
            </w:r>
            <w:r>
              <w:rPr>
                <w:rFonts w:hint="eastAsia" w:ascii="Times New Roman"/>
                <w:color w:val="000000" w:themeColor="text1"/>
                <w:sz w:val="18"/>
                <w:szCs w:val="18"/>
              </w:rPr>
              <w:t>“浸出物测定法”中“热浸法”项下醇溶性浸出物测定法</w:t>
            </w:r>
            <w:r>
              <w:rPr>
                <w:rFonts w:ascii="Times New Roman"/>
                <w:color w:val="000000" w:themeColor="text1"/>
                <w:sz w:val="18"/>
                <w:szCs w:val="18"/>
              </w:rPr>
              <w:t>,</w:t>
            </w:r>
            <w:r>
              <w:rPr>
                <w:rFonts w:hint="eastAsia" w:ascii="Times New Roman"/>
                <w:color w:val="000000" w:themeColor="text1"/>
                <w:sz w:val="18"/>
                <w:szCs w:val="18"/>
              </w:rPr>
              <w:t>以乙醇作溶剂；</w:t>
            </w:r>
          </w:p>
          <w:p w14:paraId="57105391">
            <w:pPr>
              <w:pStyle w:val="14"/>
              <w:ind w:firstLine="0" w:firstLineChars="0"/>
              <w:rPr>
                <w:rFonts w:ascii="Times New Roman"/>
                <w:color w:val="000000" w:themeColor="text1"/>
                <w:sz w:val="18"/>
                <w:szCs w:val="18"/>
              </w:rPr>
            </w:pPr>
            <w:r>
              <w:rPr>
                <w:rFonts w:ascii="Times New Roman"/>
                <w:color w:val="000000" w:themeColor="text1"/>
                <w:sz w:val="18"/>
                <w:szCs w:val="18"/>
              </w:rPr>
              <w:t>(</w:t>
            </w:r>
            <w:r>
              <w:rPr>
                <w:rFonts w:hint="eastAsia" w:ascii="Times New Roman"/>
                <w:color w:val="000000" w:themeColor="text1"/>
                <w:sz w:val="18"/>
                <w:szCs w:val="18"/>
              </w:rPr>
              <w:t>4</w:t>
            </w:r>
            <w:r>
              <w:rPr>
                <w:rFonts w:ascii="Times New Roman"/>
                <w:color w:val="000000" w:themeColor="text1"/>
                <w:sz w:val="18"/>
                <w:szCs w:val="18"/>
              </w:rPr>
              <w:t>)</w:t>
            </w:r>
            <w:r>
              <w:rPr>
                <w:rFonts w:hint="eastAsia" w:ascii="Times New Roman"/>
                <w:color w:val="000000" w:themeColor="text1"/>
                <w:sz w:val="18"/>
                <w:szCs w:val="18"/>
              </w:rPr>
              <w:t>多糖含量测定：按《中华人民共和国药典》</w:t>
            </w:r>
            <w:r>
              <w:rPr>
                <w:rFonts w:ascii="Times New Roman"/>
                <w:color w:val="000000" w:themeColor="text1"/>
                <w:sz w:val="18"/>
                <w:szCs w:val="18"/>
              </w:rPr>
              <w:t>(2020</w:t>
            </w:r>
            <w:r>
              <w:rPr>
                <w:rFonts w:hint="eastAsia" w:ascii="Times New Roman"/>
                <w:color w:val="000000" w:themeColor="text1"/>
                <w:sz w:val="18"/>
                <w:szCs w:val="18"/>
              </w:rPr>
              <w:t>版一部</w:t>
            </w:r>
            <w:r>
              <w:rPr>
                <w:rFonts w:ascii="Times New Roman"/>
                <w:color w:val="000000" w:themeColor="text1"/>
                <w:sz w:val="18"/>
                <w:szCs w:val="18"/>
              </w:rPr>
              <w:t>)</w:t>
            </w:r>
            <w:r>
              <w:rPr>
                <w:rFonts w:hint="eastAsia" w:ascii="Times New Roman"/>
                <w:color w:val="000000" w:themeColor="text1"/>
                <w:sz w:val="18"/>
                <w:szCs w:val="18"/>
              </w:rPr>
              <w:t>“黄精”质量标准中“含量测定”项下方法测定。</w:t>
            </w:r>
          </w:p>
          <w:p w14:paraId="3FD2BB5A">
            <w:pPr>
              <w:pStyle w:val="14"/>
              <w:ind w:firstLine="0" w:firstLineChars="0"/>
              <w:rPr>
                <w:rFonts w:ascii="Times New Roman"/>
                <w:color w:val="000000" w:themeColor="text1"/>
                <w:sz w:val="18"/>
                <w:szCs w:val="18"/>
              </w:rPr>
            </w:pPr>
            <w:r>
              <w:rPr>
                <w:rFonts w:ascii="Times New Roman"/>
                <w:color w:val="000000" w:themeColor="text1"/>
                <w:sz w:val="18"/>
                <w:szCs w:val="18"/>
              </w:rPr>
              <w:t>(</w:t>
            </w:r>
            <w:r>
              <w:rPr>
                <w:rFonts w:hint="eastAsia" w:ascii="Times New Roman"/>
                <w:color w:val="000000" w:themeColor="text1"/>
                <w:sz w:val="18"/>
                <w:szCs w:val="18"/>
              </w:rPr>
              <w:t>5</w:t>
            </w:r>
            <w:r>
              <w:rPr>
                <w:rFonts w:ascii="Times New Roman"/>
                <w:color w:val="000000" w:themeColor="text1"/>
                <w:sz w:val="18"/>
                <w:szCs w:val="18"/>
              </w:rPr>
              <w:t>)</w:t>
            </w:r>
            <w:r>
              <w:rPr>
                <w:rFonts w:hint="eastAsia" w:ascii="Times New Roman"/>
                <w:color w:val="000000" w:themeColor="text1"/>
                <w:sz w:val="18"/>
                <w:szCs w:val="18"/>
              </w:rPr>
              <w:t>重金属限量检查：按《中华人民共和国药典》(2020 版四部通则2321）原子吸收分光光度法或电感耦合等离子体质谱法测定；</w:t>
            </w:r>
          </w:p>
          <w:p w14:paraId="5984D818">
            <w:pPr>
              <w:pStyle w:val="14"/>
              <w:ind w:firstLine="0" w:firstLineChars="0"/>
              <w:rPr>
                <w:rFonts w:ascii="Times New Roman"/>
                <w:sz w:val="18"/>
                <w:szCs w:val="18"/>
              </w:rPr>
            </w:pPr>
          </w:p>
        </w:tc>
      </w:tr>
      <w:tr w14:paraId="10F5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49" w:type="dxa"/>
            <w:tcBorders>
              <w:bottom w:val="single" w:color="auto" w:sz="4" w:space="0"/>
              <w:right w:val="single" w:color="auto" w:sz="4" w:space="0"/>
            </w:tcBorders>
            <w:vAlign w:val="center"/>
          </w:tcPr>
          <w:p w14:paraId="5AC12BF2">
            <w:pPr>
              <w:pStyle w:val="14"/>
              <w:ind w:firstLine="0" w:firstLineChars="0"/>
              <w:jc w:val="center"/>
              <w:rPr>
                <w:rFonts w:ascii="Times New Roman"/>
                <w:sz w:val="18"/>
                <w:szCs w:val="18"/>
              </w:rPr>
            </w:pPr>
            <w:r>
              <w:rPr>
                <w:rFonts w:ascii="Times New Roman"/>
                <w:sz w:val="18"/>
                <w:szCs w:val="18"/>
              </w:rPr>
              <w:t>1</w:t>
            </w:r>
            <w:r>
              <w:rPr>
                <w:rFonts w:hint="eastAsia" w:ascii="Times New Roman"/>
                <w:sz w:val="18"/>
                <w:szCs w:val="18"/>
              </w:rPr>
              <w:t>8</w:t>
            </w:r>
          </w:p>
        </w:tc>
        <w:tc>
          <w:tcPr>
            <w:tcW w:w="647" w:type="dxa"/>
            <w:vMerge w:val="continue"/>
            <w:tcBorders>
              <w:left w:val="single" w:color="auto" w:sz="4" w:space="0"/>
            </w:tcBorders>
            <w:vAlign w:val="center"/>
          </w:tcPr>
          <w:p w14:paraId="6FBBABD8">
            <w:pPr>
              <w:pStyle w:val="14"/>
              <w:ind w:firstLine="360"/>
              <w:jc w:val="center"/>
              <w:rPr>
                <w:rFonts w:ascii="Times New Roman"/>
                <w:sz w:val="18"/>
                <w:szCs w:val="18"/>
              </w:rPr>
            </w:pPr>
          </w:p>
        </w:tc>
        <w:tc>
          <w:tcPr>
            <w:tcW w:w="691" w:type="dxa"/>
            <w:vMerge w:val="continue"/>
            <w:tcBorders>
              <w:bottom w:val="single" w:color="auto" w:sz="4" w:space="0"/>
              <w:right w:val="single" w:color="auto" w:sz="4" w:space="0"/>
            </w:tcBorders>
            <w:vAlign w:val="center"/>
          </w:tcPr>
          <w:p w14:paraId="12B0C634">
            <w:pPr>
              <w:pStyle w:val="14"/>
              <w:ind w:firstLine="0" w:firstLineChars="0"/>
              <w:rPr>
                <w:rFonts w:ascii="Times New Roman"/>
                <w:sz w:val="18"/>
                <w:szCs w:val="18"/>
              </w:rPr>
            </w:pPr>
          </w:p>
        </w:tc>
        <w:tc>
          <w:tcPr>
            <w:tcW w:w="2132" w:type="dxa"/>
            <w:gridSpan w:val="2"/>
            <w:tcBorders>
              <w:left w:val="single" w:color="auto" w:sz="4" w:space="0"/>
              <w:bottom w:val="single" w:color="auto" w:sz="4" w:space="0"/>
              <w:right w:val="single" w:color="auto" w:sz="4" w:space="0"/>
            </w:tcBorders>
          </w:tcPr>
          <w:p w14:paraId="57482B65">
            <w:pPr>
              <w:pStyle w:val="14"/>
              <w:ind w:firstLine="0" w:firstLineChars="0"/>
              <w:rPr>
                <w:rFonts w:ascii="Times New Roman"/>
                <w:sz w:val="18"/>
                <w:szCs w:val="18"/>
              </w:rPr>
            </w:pPr>
            <w:r>
              <w:rPr>
                <w:rFonts w:hint="eastAsia" w:ascii="Times New Roman"/>
                <w:sz w:val="18"/>
                <w:szCs w:val="18"/>
              </w:rPr>
              <w:t>总灰分</w:t>
            </w:r>
            <w:r>
              <w:rPr>
                <w:rFonts w:ascii="Times New Roman"/>
                <w:sz w:val="18"/>
                <w:szCs w:val="18"/>
              </w:rPr>
              <w:t>/</w:t>
            </w:r>
            <w:r>
              <w:rPr>
                <w:rFonts w:hint="eastAsia" w:ascii="Times New Roman"/>
                <w:sz w:val="18"/>
                <w:szCs w:val="18"/>
              </w:rPr>
              <w:t>（</w:t>
            </w:r>
            <w:r>
              <w:rPr>
                <w:rFonts w:ascii="Times New Roman"/>
                <w:sz w:val="18"/>
                <w:szCs w:val="18"/>
              </w:rPr>
              <w:t>%</w:t>
            </w:r>
            <w:r>
              <w:rPr>
                <w:rFonts w:hint="eastAsia" w:ascii="Times New Roman"/>
                <w:sz w:val="18"/>
                <w:szCs w:val="18"/>
              </w:rPr>
              <w:t>）≤</w:t>
            </w:r>
          </w:p>
        </w:tc>
        <w:tc>
          <w:tcPr>
            <w:tcW w:w="2608" w:type="dxa"/>
            <w:tcBorders>
              <w:left w:val="single" w:color="auto" w:sz="4" w:space="0"/>
              <w:bottom w:val="single" w:color="auto" w:sz="4" w:space="0"/>
              <w:right w:val="single" w:color="auto" w:sz="4" w:space="0"/>
            </w:tcBorders>
            <w:vAlign w:val="center"/>
          </w:tcPr>
          <w:p w14:paraId="44BAE7F8">
            <w:pPr>
              <w:pStyle w:val="14"/>
              <w:tabs>
                <w:tab w:val="left" w:pos="417"/>
                <w:tab w:val="clear" w:pos="4201"/>
              </w:tabs>
              <w:ind w:firstLine="0" w:firstLineChars="0"/>
              <w:rPr>
                <w:rFonts w:ascii="Times New Roman"/>
                <w:sz w:val="18"/>
                <w:szCs w:val="18"/>
                <w:highlight w:val="yellow"/>
              </w:rPr>
            </w:pPr>
            <w:r>
              <w:rPr>
                <w:rFonts w:hint="eastAsia" w:ascii="Times New Roman"/>
                <w:sz w:val="18"/>
                <w:szCs w:val="18"/>
              </w:rPr>
              <w:t>4.0</w:t>
            </w:r>
          </w:p>
        </w:tc>
        <w:tc>
          <w:tcPr>
            <w:tcW w:w="2744" w:type="dxa"/>
            <w:vMerge w:val="continue"/>
            <w:tcBorders>
              <w:left w:val="single" w:color="auto" w:sz="4" w:space="0"/>
              <w:bottom w:val="single" w:color="auto" w:sz="4" w:space="0"/>
            </w:tcBorders>
          </w:tcPr>
          <w:p w14:paraId="651D6136">
            <w:pPr>
              <w:pStyle w:val="14"/>
              <w:ind w:firstLine="0" w:firstLineChars="0"/>
              <w:rPr>
                <w:rFonts w:ascii="Times New Roman"/>
                <w:sz w:val="18"/>
                <w:szCs w:val="18"/>
              </w:rPr>
            </w:pPr>
          </w:p>
        </w:tc>
      </w:tr>
      <w:tr w14:paraId="39CC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49" w:type="dxa"/>
            <w:tcBorders>
              <w:bottom w:val="single" w:color="auto" w:sz="4" w:space="0"/>
              <w:right w:val="single" w:color="auto" w:sz="4" w:space="0"/>
            </w:tcBorders>
            <w:vAlign w:val="center"/>
          </w:tcPr>
          <w:p w14:paraId="74DCB34A">
            <w:pPr>
              <w:pStyle w:val="14"/>
              <w:ind w:firstLine="0" w:firstLineChars="0"/>
              <w:jc w:val="center"/>
              <w:rPr>
                <w:rFonts w:ascii="Times New Roman"/>
                <w:sz w:val="18"/>
                <w:szCs w:val="18"/>
              </w:rPr>
            </w:pPr>
            <w:r>
              <w:rPr>
                <w:rFonts w:hint="eastAsia" w:ascii="Times New Roman"/>
                <w:sz w:val="18"/>
                <w:szCs w:val="18"/>
              </w:rPr>
              <w:t>1</w:t>
            </w:r>
            <w:r>
              <w:rPr>
                <w:rFonts w:ascii="Times New Roman"/>
                <w:sz w:val="18"/>
                <w:szCs w:val="18"/>
              </w:rPr>
              <w:t>9</w:t>
            </w:r>
          </w:p>
        </w:tc>
        <w:tc>
          <w:tcPr>
            <w:tcW w:w="647" w:type="dxa"/>
            <w:vMerge w:val="continue"/>
            <w:tcBorders>
              <w:left w:val="single" w:color="auto" w:sz="4" w:space="0"/>
            </w:tcBorders>
            <w:vAlign w:val="center"/>
          </w:tcPr>
          <w:p w14:paraId="73D1869C">
            <w:pPr>
              <w:pStyle w:val="14"/>
              <w:ind w:firstLine="360"/>
              <w:jc w:val="center"/>
              <w:rPr>
                <w:rFonts w:ascii="Times New Roman"/>
                <w:sz w:val="18"/>
                <w:szCs w:val="18"/>
              </w:rPr>
            </w:pPr>
          </w:p>
        </w:tc>
        <w:tc>
          <w:tcPr>
            <w:tcW w:w="691" w:type="dxa"/>
            <w:vMerge w:val="continue"/>
            <w:tcBorders>
              <w:bottom w:val="single" w:color="auto" w:sz="4" w:space="0"/>
              <w:right w:val="single" w:color="auto" w:sz="4" w:space="0"/>
            </w:tcBorders>
            <w:vAlign w:val="center"/>
          </w:tcPr>
          <w:p w14:paraId="0493E644">
            <w:pPr>
              <w:pStyle w:val="14"/>
              <w:ind w:firstLine="0" w:firstLineChars="0"/>
              <w:rPr>
                <w:rFonts w:ascii="Times New Roman"/>
                <w:sz w:val="18"/>
                <w:szCs w:val="18"/>
              </w:rPr>
            </w:pPr>
          </w:p>
        </w:tc>
        <w:tc>
          <w:tcPr>
            <w:tcW w:w="2132" w:type="dxa"/>
            <w:gridSpan w:val="2"/>
            <w:tcBorders>
              <w:left w:val="single" w:color="auto" w:sz="4" w:space="0"/>
              <w:bottom w:val="single" w:color="auto" w:sz="4" w:space="0"/>
              <w:right w:val="single" w:color="auto" w:sz="4" w:space="0"/>
            </w:tcBorders>
          </w:tcPr>
          <w:p w14:paraId="689CC37E">
            <w:pPr>
              <w:pStyle w:val="14"/>
              <w:ind w:firstLine="0" w:firstLineChars="0"/>
              <w:rPr>
                <w:rFonts w:ascii="Times New Roman"/>
                <w:sz w:val="18"/>
                <w:szCs w:val="18"/>
              </w:rPr>
            </w:pPr>
            <w:r>
              <w:rPr>
                <w:rFonts w:hint="eastAsia" w:ascii="Times New Roman"/>
                <w:sz w:val="18"/>
                <w:szCs w:val="18"/>
              </w:rPr>
              <w:t>浸出物</w:t>
            </w:r>
            <w:r>
              <w:rPr>
                <w:rFonts w:ascii="Times New Roman"/>
                <w:sz w:val="18"/>
                <w:szCs w:val="18"/>
              </w:rPr>
              <w:t>/</w:t>
            </w:r>
            <w:r>
              <w:rPr>
                <w:rFonts w:hint="eastAsia" w:ascii="Times New Roman"/>
                <w:sz w:val="18"/>
                <w:szCs w:val="18"/>
              </w:rPr>
              <w:t>（</w:t>
            </w:r>
            <w:r>
              <w:rPr>
                <w:rFonts w:ascii="Times New Roman"/>
                <w:sz w:val="18"/>
                <w:szCs w:val="18"/>
              </w:rPr>
              <w:t>%</w:t>
            </w:r>
            <w:r>
              <w:rPr>
                <w:rFonts w:hint="eastAsia" w:ascii="Times New Roman"/>
                <w:sz w:val="18"/>
                <w:szCs w:val="18"/>
              </w:rPr>
              <w:t>）</w:t>
            </w:r>
            <w:r>
              <w:rPr>
                <w:rFonts w:hint="eastAsia"/>
                <w:sz w:val="18"/>
                <w:szCs w:val="18"/>
              </w:rPr>
              <w:t>≥</w:t>
            </w:r>
          </w:p>
        </w:tc>
        <w:tc>
          <w:tcPr>
            <w:tcW w:w="2608" w:type="dxa"/>
            <w:tcBorders>
              <w:left w:val="single" w:color="auto" w:sz="4" w:space="0"/>
              <w:bottom w:val="single" w:color="auto" w:sz="4" w:space="0"/>
              <w:right w:val="single" w:color="auto" w:sz="4" w:space="0"/>
            </w:tcBorders>
            <w:vAlign w:val="center"/>
          </w:tcPr>
          <w:p w14:paraId="342F1FFA">
            <w:pPr>
              <w:pStyle w:val="14"/>
              <w:tabs>
                <w:tab w:val="left" w:pos="417"/>
                <w:tab w:val="clear" w:pos="4201"/>
              </w:tabs>
              <w:ind w:firstLine="0" w:firstLineChars="0"/>
              <w:rPr>
                <w:rFonts w:ascii="Times New Roman"/>
                <w:sz w:val="18"/>
                <w:szCs w:val="18"/>
                <w:highlight w:val="yellow"/>
              </w:rPr>
            </w:pPr>
            <w:r>
              <w:rPr>
                <w:rFonts w:hint="eastAsia" w:ascii="Times New Roman"/>
                <w:sz w:val="18"/>
                <w:szCs w:val="18"/>
              </w:rPr>
              <w:t>50.0</w:t>
            </w:r>
          </w:p>
        </w:tc>
        <w:tc>
          <w:tcPr>
            <w:tcW w:w="2744" w:type="dxa"/>
            <w:vMerge w:val="continue"/>
            <w:tcBorders>
              <w:left w:val="single" w:color="auto" w:sz="4" w:space="0"/>
              <w:bottom w:val="single" w:color="auto" w:sz="4" w:space="0"/>
            </w:tcBorders>
          </w:tcPr>
          <w:p w14:paraId="4F886273">
            <w:pPr>
              <w:pStyle w:val="14"/>
              <w:ind w:firstLine="0" w:firstLineChars="0"/>
              <w:rPr>
                <w:rFonts w:ascii="Times New Roman"/>
                <w:sz w:val="18"/>
                <w:szCs w:val="18"/>
              </w:rPr>
            </w:pPr>
          </w:p>
        </w:tc>
      </w:tr>
      <w:tr w14:paraId="36D7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49" w:type="dxa"/>
            <w:tcBorders>
              <w:bottom w:val="single" w:color="auto" w:sz="4" w:space="0"/>
              <w:right w:val="single" w:color="auto" w:sz="4" w:space="0"/>
            </w:tcBorders>
            <w:vAlign w:val="center"/>
          </w:tcPr>
          <w:p w14:paraId="5BAEA3B5">
            <w:pPr>
              <w:pStyle w:val="14"/>
              <w:ind w:firstLine="0" w:firstLineChars="0"/>
              <w:jc w:val="center"/>
              <w:rPr>
                <w:rFonts w:ascii="Times New Roman"/>
                <w:sz w:val="18"/>
                <w:szCs w:val="18"/>
              </w:rPr>
            </w:pPr>
            <w:r>
              <w:rPr>
                <w:rFonts w:ascii="Times New Roman"/>
                <w:sz w:val="18"/>
                <w:szCs w:val="18"/>
              </w:rPr>
              <w:t>20</w:t>
            </w:r>
          </w:p>
        </w:tc>
        <w:tc>
          <w:tcPr>
            <w:tcW w:w="647" w:type="dxa"/>
            <w:vMerge w:val="continue"/>
            <w:tcBorders>
              <w:left w:val="single" w:color="auto" w:sz="4" w:space="0"/>
            </w:tcBorders>
            <w:vAlign w:val="center"/>
          </w:tcPr>
          <w:p w14:paraId="68A83452">
            <w:pPr>
              <w:pStyle w:val="14"/>
              <w:ind w:firstLine="360"/>
              <w:jc w:val="center"/>
              <w:rPr>
                <w:rFonts w:ascii="Times New Roman"/>
                <w:sz w:val="18"/>
                <w:szCs w:val="18"/>
              </w:rPr>
            </w:pPr>
          </w:p>
        </w:tc>
        <w:tc>
          <w:tcPr>
            <w:tcW w:w="691" w:type="dxa"/>
            <w:vMerge w:val="continue"/>
            <w:tcBorders>
              <w:bottom w:val="single" w:color="auto" w:sz="4" w:space="0"/>
              <w:right w:val="single" w:color="auto" w:sz="4" w:space="0"/>
            </w:tcBorders>
            <w:vAlign w:val="center"/>
          </w:tcPr>
          <w:p w14:paraId="009D8C89">
            <w:pPr>
              <w:pStyle w:val="14"/>
              <w:ind w:firstLine="0" w:firstLineChars="0"/>
              <w:rPr>
                <w:rFonts w:ascii="Times New Roman"/>
                <w:sz w:val="18"/>
                <w:szCs w:val="18"/>
              </w:rPr>
            </w:pPr>
          </w:p>
        </w:tc>
        <w:tc>
          <w:tcPr>
            <w:tcW w:w="2132" w:type="dxa"/>
            <w:gridSpan w:val="2"/>
            <w:tcBorders>
              <w:left w:val="single" w:color="auto" w:sz="4" w:space="0"/>
              <w:bottom w:val="single" w:color="auto" w:sz="4" w:space="0"/>
              <w:right w:val="single" w:color="auto" w:sz="4" w:space="0"/>
            </w:tcBorders>
          </w:tcPr>
          <w:p w14:paraId="1DA62B36">
            <w:pPr>
              <w:pStyle w:val="14"/>
              <w:ind w:firstLine="0" w:firstLineChars="0"/>
              <w:rPr>
                <w:sz w:val="18"/>
                <w:szCs w:val="18"/>
              </w:rPr>
            </w:pPr>
            <w:r>
              <w:rPr>
                <w:sz w:val="18"/>
                <w:szCs w:val="18"/>
              </w:rPr>
              <w:t>多糖</w:t>
            </w:r>
            <w:r>
              <w:rPr>
                <w:rFonts w:hint="eastAsia"/>
                <w:sz w:val="18"/>
                <w:szCs w:val="18"/>
              </w:rPr>
              <w:t>（本品按干燥品计算，以无水葡萄糖计</w:t>
            </w:r>
            <w:r>
              <w:rPr>
                <w:sz w:val="18"/>
                <w:szCs w:val="18"/>
              </w:rPr>
              <w:t>%</w:t>
            </w:r>
            <w:r>
              <w:rPr>
                <w:rFonts w:hint="eastAsia"/>
                <w:sz w:val="18"/>
                <w:szCs w:val="18"/>
              </w:rPr>
              <w:t>）≥</w:t>
            </w:r>
          </w:p>
        </w:tc>
        <w:tc>
          <w:tcPr>
            <w:tcW w:w="2608" w:type="dxa"/>
            <w:tcBorders>
              <w:left w:val="single" w:color="auto" w:sz="4" w:space="0"/>
              <w:bottom w:val="single" w:color="auto" w:sz="4" w:space="0"/>
              <w:right w:val="single" w:color="auto" w:sz="4" w:space="0"/>
            </w:tcBorders>
            <w:vAlign w:val="center"/>
          </w:tcPr>
          <w:p w14:paraId="1D65F75E">
            <w:pPr>
              <w:pStyle w:val="14"/>
              <w:ind w:firstLine="0" w:firstLineChars="0"/>
              <w:rPr>
                <w:rFonts w:ascii="Times New Roman"/>
                <w:sz w:val="18"/>
                <w:szCs w:val="18"/>
                <w:highlight w:val="yellow"/>
              </w:rPr>
            </w:pPr>
            <w:r>
              <w:rPr>
                <w:rFonts w:hint="eastAsia" w:ascii="Times New Roman"/>
                <w:sz w:val="18"/>
                <w:szCs w:val="18"/>
              </w:rPr>
              <w:t>7.3</w:t>
            </w:r>
          </w:p>
        </w:tc>
        <w:tc>
          <w:tcPr>
            <w:tcW w:w="2744" w:type="dxa"/>
            <w:vMerge w:val="continue"/>
            <w:tcBorders>
              <w:left w:val="single" w:color="auto" w:sz="4" w:space="0"/>
              <w:bottom w:val="single" w:color="auto" w:sz="4" w:space="0"/>
            </w:tcBorders>
          </w:tcPr>
          <w:p w14:paraId="0645C3DA">
            <w:pPr>
              <w:pStyle w:val="14"/>
              <w:ind w:firstLine="0" w:firstLineChars="0"/>
              <w:rPr>
                <w:rFonts w:ascii="Times New Roman"/>
                <w:sz w:val="18"/>
                <w:szCs w:val="18"/>
              </w:rPr>
            </w:pPr>
          </w:p>
        </w:tc>
      </w:tr>
      <w:tr w14:paraId="6647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49" w:type="dxa"/>
            <w:tcBorders>
              <w:top w:val="single" w:color="auto" w:sz="4" w:space="0"/>
              <w:bottom w:val="single" w:color="auto" w:sz="4" w:space="0"/>
              <w:right w:val="single" w:color="auto" w:sz="4" w:space="0"/>
            </w:tcBorders>
            <w:vAlign w:val="center"/>
          </w:tcPr>
          <w:p w14:paraId="6CB3444A">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1</w:t>
            </w:r>
          </w:p>
        </w:tc>
        <w:tc>
          <w:tcPr>
            <w:tcW w:w="647" w:type="dxa"/>
            <w:vMerge w:val="continue"/>
            <w:tcBorders>
              <w:left w:val="single" w:color="auto" w:sz="4" w:space="0"/>
            </w:tcBorders>
            <w:vAlign w:val="center"/>
          </w:tcPr>
          <w:p w14:paraId="4E618CF1">
            <w:pPr>
              <w:widowControl/>
              <w:jc w:val="center"/>
              <w:rPr>
                <w:rFonts w:ascii="宋体" w:hAnsi="宋体"/>
                <w:kern w:val="0"/>
                <w:sz w:val="18"/>
                <w:szCs w:val="18"/>
              </w:rPr>
            </w:pPr>
          </w:p>
        </w:tc>
        <w:tc>
          <w:tcPr>
            <w:tcW w:w="691" w:type="dxa"/>
            <w:vMerge w:val="continue"/>
            <w:tcBorders>
              <w:top w:val="single" w:color="auto" w:sz="4" w:space="0"/>
              <w:bottom w:val="single" w:color="auto" w:sz="4" w:space="0"/>
              <w:right w:val="single" w:color="auto" w:sz="4" w:space="0"/>
            </w:tcBorders>
            <w:vAlign w:val="center"/>
          </w:tcPr>
          <w:p w14:paraId="3AA63984">
            <w:pPr>
              <w:widowControl/>
              <w:jc w:val="left"/>
              <w:rPr>
                <w:rFonts w:ascii="宋体" w:hAnsi="宋体"/>
                <w:kern w:val="0"/>
                <w:sz w:val="18"/>
                <w:szCs w:val="18"/>
              </w:rPr>
            </w:pPr>
          </w:p>
        </w:tc>
        <w:tc>
          <w:tcPr>
            <w:tcW w:w="2132" w:type="dxa"/>
            <w:gridSpan w:val="2"/>
            <w:tcBorders>
              <w:top w:val="single" w:color="auto" w:sz="4" w:space="0"/>
              <w:left w:val="single" w:color="auto" w:sz="4" w:space="0"/>
              <w:bottom w:val="single" w:color="auto" w:sz="4" w:space="0"/>
              <w:right w:val="single" w:color="auto" w:sz="4" w:space="0"/>
            </w:tcBorders>
          </w:tcPr>
          <w:p w14:paraId="4B5F981C">
            <w:pPr>
              <w:pStyle w:val="14"/>
              <w:ind w:firstLine="0" w:firstLineChars="0"/>
              <w:rPr>
                <w:sz w:val="18"/>
                <w:szCs w:val="18"/>
              </w:rPr>
            </w:pPr>
            <w:r>
              <w:rPr>
                <w:rFonts w:hint="eastAsia"/>
                <w:sz w:val="18"/>
                <w:szCs w:val="18"/>
              </w:rPr>
              <w:t>重金属铅（</w:t>
            </w:r>
            <w:r>
              <w:rPr>
                <w:sz w:val="18"/>
                <w:szCs w:val="18"/>
              </w:rPr>
              <w:t>mg/kg</w:t>
            </w:r>
            <w:r>
              <w:rPr>
                <w:rFonts w:hint="eastAsia"/>
                <w:sz w:val="18"/>
                <w:szCs w:val="18"/>
              </w:rPr>
              <w:t>）≤</w:t>
            </w:r>
          </w:p>
        </w:tc>
        <w:tc>
          <w:tcPr>
            <w:tcW w:w="2608" w:type="dxa"/>
            <w:tcBorders>
              <w:top w:val="single" w:color="auto" w:sz="4" w:space="0"/>
              <w:left w:val="single" w:color="auto" w:sz="4" w:space="0"/>
              <w:bottom w:val="single" w:color="auto" w:sz="4" w:space="0"/>
              <w:right w:val="single" w:color="auto" w:sz="4" w:space="0"/>
            </w:tcBorders>
            <w:vAlign w:val="center"/>
          </w:tcPr>
          <w:p w14:paraId="1548A4BE">
            <w:pPr>
              <w:pStyle w:val="14"/>
              <w:ind w:firstLine="0" w:firstLineChars="0"/>
              <w:rPr>
                <w:sz w:val="18"/>
                <w:szCs w:val="18"/>
                <w:highlight w:val="yellow"/>
              </w:rPr>
            </w:pPr>
            <w:r>
              <w:rPr>
                <w:sz w:val="18"/>
                <w:szCs w:val="18"/>
              </w:rPr>
              <w:t>5</w:t>
            </w:r>
            <w:r>
              <w:rPr>
                <w:rFonts w:hint="eastAsia"/>
                <w:sz w:val="18"/>
                <w:szCs w:val="18"/>
              </w:rPr>
              <w:t>.0</w:t>
            </w:r>
          </w:p>
        </w:tc>
        <w:tc>
          <w:tcPr>
            <w:tcW w:w="2744" w:type="dxa"/>
            <w:vMerge w:val="continue"/>
            <w:tcBorders>
              <w:top w:val="single" w:color="auto" w:sz="4" w:space="0"/>
              <w:left w:val="single" w:color="auto" w:sz="4" w:space="0"/>
              <w:bottom w:val="single" w:color="auto" w:sz="4" w:space="0"/>
            </w:tcBorders>
            <w:vAlign w:val="center"/>
          </w:tcPr>
          <w:p w14:paraId="71DD5147">
            <w:pPr>
              <w:widowControl/>
              <w:jc w:val="left"/>
              <w:rPr>
                <w:rFonts w:ascii="宋体" w:hAnsi="宋体"/>
                <w:kern w:val="0"/>
                <w:sz w:val="18"/>
                <w:szCs w:val="18"/>
              </w:rPr>
            </w:pPr>
          </w:p>
        </w:tc>
      </w:tr>
      <w:tr w14:paraId="2DFB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49" w:type="dxa"/>
            <w:tcBorders>
              <w:top w:val="single" w:color="auto" w:sz="4" w:space="0"/>
              <w:bottom w:val="single" w:color="auto" w:sz="4" w:space="0"/>
              <w:right w:val="single" w:color="auto" w:sz="4" w:space="0"/>
            </w:tcBorders>
            <w:vAlign w:val="center"/>
          </w:tcPr>
          <w:p w14:paraId="6382FEE1">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2</w:t>
            </w:r>
          </w:p>
        </w:tc>
        <w:tc>
          <w:tcPr>
            <w:tcW w:w="647" w:type="dxa"/>
            <w:vMerge w:val="continue"/>
            <w:tcBorders>
              <w:left w:val="single" w:color="auto" w:sz="4" w:space="0"/>
            </w:tcBorders>
            <w:vAlign w:val="center"/>
          </w:tcPr>
          <w:p w14:paraId="4544F5BB">
            <w:pPr>
              <w:widowControl/>
              <w:jc w:val="center"/>
              <w:rPr>
                <w:rFonts w:ascii="宋体" w:hAnsi="宋体"/>
                <w:kern w:val="0"/>
                <w:sz w:val="18"/>
                <w:szCs w:val="18"/>
              </w:rPr>
            </w:pPr>
          </w:p>
        </w:tc>
        <w:tc>
          <w:tcPr>
            <w:tcW w:w="691" w:type="dxa"/>
            <w:vMerge w:val="continue"/>
            <w:tcBorders>
              <w:top w:val="single" w:color="auto" w:sz="4" w:space="0"/>
              <w:bottom w:val="single" w:color="auto" w:sz="4" w:space="0"/>
              <w:right w:val="single" w:color="auto" w:sz="4" w:space="0"/>
            </w:tcBorders>
            <w:vAlign w:val="center"/>
          </w:tcPr>
          <w:p w14:paraId="522056EB">
            <w:pPr>
              <w:widowControl/>
              <w:jc w:val="left"/>
              <w:rPr>
                <w:rFonts w:ascii="宋体" w:hAnsi="宋体"/>
                <w:kern w:val="0"/>
                <w:sz w:val="18"/>
                <w:szCs w:val="18"/>
              </w:rPr>
            </w:pPr>
          </w:p>
        </w:tc>
        <w:tc>
          <w:tcPr>
            <w:tcW w:w="2132" w:type="dxa"/>
            <w:gridSpan w:val="2"/>
            <w:tcBorders>
              <w:top w:val="single" w:color="auto" w:sz="4" w:space="0"/>
              <w:left w:val="single" w:color="auto" w:sz="4" w:space="0"/>
              <w:bottom w:val="single" w:color="auto" w:sz="4" w:space="0"/>
              <w:right w:val="single" w:color="auto" w:sz="4" w:space="0"/>
            </w:tcBorders>
          </w:tcPr>
          <w:p w14:paraId="029046B7">
            <w:pPr>
              <w:pStyle w:val="14"/>
              <w:ind w:firstLine="0" w:firstLineChars="0"/>
              <w:rPr>
                <w:sz w:val="18"/>
                <w:szCs w:val="18"/>
              </w:rPr>
            </w:pPr>
            <w:r>
              <w:rPr>
                <w:rFonts w:hint="eastAsia"/>
                <w:sz w:val="18"/>
                <w:szCs w:val="18"/>
              </w:rPr>
              <w:t>重金属镉（</w:t>
            </w:r>
            <w:r>
              <w:rPr>
                <w:sz w:val="18"/>
                <w:szCs w:val="18"/>
              </w:rPr>
              <w:t>mg/kg</w:t>
            </w:r>
            <w:r>
              <w:rPr>
                <w:rFonts w:hint="eastAsia"/>
                <w:sz w:val="18"/>
                <w:szCs w:val="18"/>
              </w:rPr>
              <w:t>）≤</w:t>
            </w:r>
          </w:p>
        </w:tc>
        <w:tc>
          <w:tcPr>
            <w:tcW w:w="2608" w:type="dxa"/>
            <w:tcBorders>
              <w:top w:val="single" w:color="auto" w:sz="4" w:space="0"/>
              <w:left w:val="single" w:color="auto" w:sz="4" w:space="0"/>
              <w:bottom w:val="single" w:color="auto" w:sz="4" w:space="0"/>
              <w:right w:val="single" w:color="auto" w:sz="4" w:space="0"/>
            </w:tcBorders>
            <w:vAlign w:val="center"/>
          </w:tcPr>
          <w:p w14:paraId="34937AA5">
            <w:pPr>
              <w:pStyle w:val="14"/>
              <w:ind w:firstLine="0" w:firstLineChars="0"/>
              <w:rPr>
                <w:color w:val="000000" w:themeColor="text1"/>
                <w:sz w:val="18"/>
                <w:szCs w:val="18"/>
                <w:highlight w:val="yellow"/>
              </w:rPr>
            </w:pPr>
            <w:r>
              <w:rPr>
                <w:color w:val="000000" w:themeColor="text1"/>
                <w:sz w:val="18"/>
                <w:szCs w:val="18"/>
              </w:rPr>
              <w:t>1</w:t>
            </w:r>
            <w:r>
              <w:rPr>
                <w:rFonts w:hint="eastAsia"/>
                <w:color w:val="000000" w:themeColor="text1"/>
                <w:sz w:val="18"/>
                <w:szCs w:val="18"/>
              </w:rPr>
              <w:t>.0</w:t>
            </w:r>
          </w:p>
        </w:tc>
        <w:tc>
          <w:tcPr>
            <w:tcW w:w="2744" w:type="dxa"/>
            <w:vMerge w:val="continue"/>
            <w:tcBorders>
              <w:top w:val="single" w:color="auto" w:sz="4" w:space="0"/>
              <w:left w:val="single" w:color="auto" w:sz="4" w:space="0"/>
              <w:bottom w:val="single" w:color="auto" w:sz="4" w:space="0"/>
            </w:tcBorders>
            <w:vAlign w:val="center"/>
          </w:tcPr>
          <w:p w14:paraId="4D4C882C">
            <w:pPr>
              <w:widowControl/>
              <w:jc w:val="left"/>
              <w:rPr>
                <w:rFonts w:ascii="宋体" w:hAnsi="宋体"/>
                <w:kern w:val="0"/>
                <w:sz w:val="18"/>
                <w:szCs w:val="18"/>
              </w:rPr>
            </w:pPr>
          </w:p>
        </w:tc>
      </w:tr>
      <w:tr w14:paraId="4501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749" w:type="dxa"/>
            <w:tcBorders>
              <w:top w:val="single" w:color="auto" w:sz="4" w:space="0"/>
              <w:bottom w:val="single" w:color="auto" w:sz="4" w:space="0"/>
              <w:right w:val="single" w:color="auto" w:sz="4" w:space="0"/>
            </w:tcBorders>
            <w:vAlign w:val="center"/>
          </w:tcPr>
          <w:p w14:paraId="20EF4CA7">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3</w:t>
            </w:r>
          </w:p>
        </w:tc>
        <w:tc>
          <w:tcPr>
            <w:tcW w:w="647" w:type="dxa"/>
            <w:vMerge w:val="continue"/>
            <w:tcBorders>
              <w:left w:val="single" w:color="auto" w:sz="4" w:space="0"/>
            </w:tcBorders>
            <w:vAlign w:val="center"/>
          </w:tcPr>
          <w:p w14:paraId="5F60F067">
            <w:pPr>
              <w:widowControl/>
              <w:jc w:val="center"/>
              <w:rPr>
                <w:rFonts w:ascii="宋体" w:hAnsi="宋体"/>
                <w:kern w:val="0"/>
                <w:sz w:val="18"/>
                <w:szCs w:val="18"/>
              </w:rPr>
            </w:pPr>
          </w:p>
        </w:tc>
        <w:tc>
          <w:tcPr>
            <w:tcW w:w="691" w:type="dxa"/>
            <w:vMerge w:val="continue"/>
            <w:tcBorders>
              <w:top w:val="single" w:color="auto" w:sz="4" w:space="0"/>
              <w:bottom w:val="single" w:color="auto" w:sz="4" w:space="0"/>
              <w:right w:val="single" w:color="auto" w:sz="4" w:space="0"/>
            </w:tcBorders>
            <w:vAlign w:val="center"/>
          </w:tcPr>
          <w:p w14:paraId="21BB8823">
            <w:pPr>
              <w:widowControl/>
              <w:jc w:val="left"/>
              <w:rPr>
                <w:rFonts w:ascii="宋体" w:hAnsi="宋体"/>
                <w:kern w:val="0"/>
                <w:sz w:val="18"/>
                <w:szCs w:val="18"/>
              </w:rPr>
            </w:pPr>
          </w:p>
        </w:tc>
        <w:tc>
          <w:tcPr>
            <w:tcW w:w="2132" w:type="dxa"/>
            <w:gridSpan w:val="2"/>
            <w:tcBorders>
              <w:top w:val="single" w:color="auto" w:sz="4" w:space="0"/>
              <w:left w:val="single" w:color="auto" w:sz="4" w:space="0"/>
              <w:bottom w:val="single" w:color="auto" w:sz="4" w:space="0"/>
              <w:right w:val="single" w:color="auto" w:sz="4" w:space="0"/>
            </w:tcBorders>
          </w:tcPr>
          <w:p w14:paraId="6662E0E1">
            <w:pPr>
              <w:pStyle w:val="14"/>
              <w:ind w:firstLine="0" w:firstLineChars="0"/>
              <w:rPr>
                <w:sz w:val="18"/>
                <w:szCs w:val="18"/>
              </w:rPr>
            </w:pPr>
            <w:r>
              <w:rPr>
                <w:rFonts w:hint="eastAsia"/>
                <w:sz w:val="18"/>
                <w:szCs w:val="18"/>
              </w:rPr>
              <w:t>重金属砷（</w:t>
            </w:r>
            <w:r>
              <w:rPr>
                <w:sz w:val="18"/>
                <w:szCs w:val="18"/>
              </w:rPr>
              <w:t>mg/kg</w:t>
            </w:r>
            <w:r>
              <w:rPr>
                <w:rFonts w:hint="eastAsia"/>
                <w:sz w:val="18"/>
                <w:szCs w:val="18"/>
              </w:rPr>
              <w:t>）≤</w:t>
            </w:r>
          </w:p>
        </w:tc>
        <w:tc>
          <w:tcPr>
            <w:tcW w:w="2608" w:type="dxa"/>
            <w:tcBorders>
              <w:top w:val="single" w:color="auto" w:sz="4" w:space="0"/>
              <w:left w:val="single" w:color="auto" w:sz="4" w:space="0"/>
              <w:bottom w:val="single" w:color="auto" w:sz="4" w:space="0"/>
              <w:right w:val="single" w:color="auto" w:sz="4" w:space="0"/>
            </w:tcBorders>
            <w:vAlign w:val="center"/>
          </w:tcPr>
          <w:p w14:paraId="761ABF66">
            <w:pPr>
              <w:pStyle w:val="14"/>
              <w:ind w:firstLine="0" w:firstLineChars="0"/>
              <w:rPr>
                <w:sz w:val="18"/>
                <w:szCs w:val="18"/>
                <w:highlight w:val="yellow"/>
              </w:rPr>
            </w:pPr>
            <w:r>
              <w:rPr>
                <w:sz w:val="18"/>
                <w:szCs w:val="18"/>
              </w:rPr>
              <w:t>2</w:t>
            </w:r>
            <w:r>
              <w:rPr>
                <w:rFonts w:hint="eastAsia"/>
                <w:sz w:val="18"/>
                <w:szCs w:val="18"/>
              </w:rPr>
              <w:t>.0</w:t>
            </w:r>
          </w:p>
        </w:tc>
        <w:tc>
          <w:tcPr>
            <w:tcW w:w="2744" w:type="dxa"/>
            <w:vMerge w:val="continue"/>
            <w:tcBorders>
              <w:top w:val="single" w:color="auto" w:sz="4" w:space="0"/>
              <w:left w:val="single" w:color="auto" w:sz="4" w:space="0"/>
              <w:bottom w:val="single" w:color="auto" w:sz="4" w:space="0"/>
            </w:tcBorders>
            <w:vAlign w:val="center"/>
          </w:tcPr>
          <w:p w14:paraId="134AE12F">
            <w:pPr>
              <w:widowControl/>
              <w:jc w:val="left"/>
              <w:rPr>
                <w:rFonts w:ascii="宋体" w:hAnsi="宋体"/>
                <w:kern w:val="0"/>
                <w:sz w:val="18"/>
                <w:szCs w:val="18"/>
              </w:rPr>
            </w:pPr>
          </w:p>
        </w:tc>
      </w:tr>
      <w:tr w14:paraId="1FD0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749" w:type="dxa"/>
            <w:tcBorders>
              <w:top w:val="single" w:color="auto" w:sz="4" w:space="0"/>
              <w:bottom w:val="single" w:color="auto" w:sz="4" w:space="0"/>
              <w:right w:val="single" w:color="auto" w:sz="4" w:space="0"/>
            </w:tcBorders>
            <w:vAlign w:val="center"/>
          </w:tcPr>
          <w:p w14:paraId="534FB5C4">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4</w:t>
            </w:r>
          </w:p>
        </w:tc>
        <w:tc>
          <w:tcPr>
            <w:tcW w:w="647" w:type="dxa"/>
            <w:vMerge w:val="continue"/>
            <w:tcBorders>
              <w:left w:val="single" w:color="auto" w:sz="4" w:space="0"/>
            </w:tcBorders>
            <w:vAlign w:val="center"/>
          </w:tcPr>
          <w:p w14:paraId="189CCFA7">
            <w:pPr>
              <w:widowControl/>
              <w:jc w:val="center"/>
              <w:rPr>
                <w:rFonts w:ascii="宋体" w:hAnsi="宋体"/>
                <w:kern w:val="0"/>
                <w:sz w:val="18"/>
                <w:szCs w:val="18"/>
              </w:rPr>
            </w:pPr>
          </w:p>
        </w:tc>
        <w:tc>
          <w:tcPr>
            <w:tcW w:w="691" w:type="dxa"/>
            <w:vMerge w:val="continue"/>
            <w:tcBorders>
              <w:top w:val="single" w:color="auto" w:sz="4" w:space="0"/>
              <w:bottom w:val="single" w:color="auto" w:sz="4" w:space="0"/>
              <w:right w:val="single" w:color="auto" w:sz="4" w:space="0"/>
            </w:tcBorders>
            <w:vAlign w:val="center"/>
          </w:tcPr>
          <w:p w14:paraId="38E51377">
            <w:pPr>
              <w:widowControl/>
              <w:jc w:val="left"/>
              <w:rPr>
                <w:rFonts w:ascii="宋体" w:hAnsi="宋体"/>
                <w:kern w:val="0"/>
                <w:sz w:val="18"/>
                <w:szCs w:val="18"/>
              </w:rPr>
            </w:pPr>
          </w:p>
        </w:tc>
        <w:tc>
          <w:tcPr>
            <w:tcW w:w="2132" w:type="dxa"/>
            <w:gridSpan w:val="2"/>
            <w:tcBorders>
              <w:top w:val="single" w:color="auto" w:sz="4" w:space="0"/>
              <w:left w:val="single" w:color="auto" w:sz="4" w:space="0"/>
              <w:bottom w:val="single" w:color="auto" w:sz="4" w:space="0"/>
              <w:right w:val="single" w:color="auto" w:sz="4" w:space="0"/>
            </w:tcBorders>
          </w:tcPr>
          <w:p w14:paraId="0FB24822">
            <w:pPr>
              <w:pStyle w:val="14"/>
              <w:ind w:firstLine="0" w:firstLineChars="0"/>
              <w:rPr>
                <w:sz w:val="18"/>
                <w:szCs w:val="18"/>
              </w:rPr>
            </w:pPr>
            <w:r>
              <w:rPr>
                <w:rFonts w:hint="eastAsia"/>
                <w:sz w:val="18"/>
                <w:szCs w:val="18"/>
              </w:rPr>
              <w:t>重金属汞（</w:t>
            </w:r>
            <w:r>
              <w:rPr>
                <w:sz w:val="18"/>
                <w:szCs w:val="18"/>
              </w:rPr>
              <w:t>mg/kg</w:t>
            </w:r>
            <w:r>
              <w:rPr>
                <w:rFonts w:hint="eastAsia"/>
                <w:sz w:val="18"/>
                <w:szCs w:val="18"/>
              </w:rPr>
              <w:t>）≤</w:t>
            </w:r>
          </w:p>
        </w:tc>
        <w:tc>
          <w:tcPr>
            <w:tcW w:w="2608" w:type="dxa"/>
            <w:tcBorders>
              <w:top w:val="single" w:color="auto" w:sz="4" w:space="0"/>
              <w:left w:val="single" w:color="auto" w:sz="4" w:space="0"/>
              <w:bottom w:val="single" w:color="auto" w:sz="4" w:space="0"/>
              <w:right w:val="single" w:color="auto" w:sz="4" w:space="0"/>
            </w:tcBorders>
            <w:vAlign w:val="center"/>
          </w:tcPr>
          <w:p w14:paraId="6ADC4325">
            <w:pPr>
              <w:pStyle w:val="14"/>
              <w:ind w:firstLine="0" w:firstLineChars="0"/>
              <w:rPr>
                <w:rFonts w:ascii="Times New Roman"/>
                <w:sz w:val="18"/>
                <w:szCs w:val="18"/>
                <w:highlight w:val="yellow"/>
              </w:rPr>
            </w:pPr>
            <w:r>
              <w:rPr>
                <w:rFonts w:hint="eastAsia" w:ascii="Times New Roman"/>
                <w:sz w:val="18"/>
                <w:szCs w:val="18"/>
              </w:rPr>
              <w:t>0.2</w:t>
            </w:r>
          </w:p>
        </w:tc>
        <w:tc>
          <w:tcPr>
            <w:tcW w:w="2744" w:type="dxa"/>
            <w:vMerge w:val="continue"/>
            <w:tcBorders>
              <w:top w:val="single" w:color="auto" w:sz="4" w:space="0"/>
              <w:left w:val="single" w:color="auto" w:sz="4" w:space="0"/>
              <w:bottom w:val="single" w:color="auto" w:sz="4" w:space="0"/>
            </w:tcBorders>
            <w:vAlign w:val="center"/>
          </w:tcPr>
          <w:p w14:paraId="7173D98B">
            <w:pPr>
              <w:widowControl/>
              <w:jc w:val="left"/>
              <w:rPr>
                <w:rFonts w:ascii="宋体" w:hAnsi="宋体"/>
                <w:kern w:val="0"/>
                <w:sz w:val="18"/>
                <w:szCs w:val="18"/>
              </w:rPr>
            </w:pPr>
          </w:p>
        </w:tc>
      </w:tr>
      <w:tr w14:paraId="46E0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49" w:type="dxa"/>
            <w:tcBorders>
              <w:top w:val="single" w:color="auto" w:sz="4" w:space="0"/>
              <w:bottom w:val="single" w:color="auto" w:sz="4" w:space="0"/>
              <w:right w:val="single" w:color="auto" w:sz="4" w:space="0"/>
            </w:tcBorders>
            <w:vAlign w:val="center"/>
          </w:tcPr>
          <w:p w14:paraId="5F847837">
            <w:pPr>
              <w:pStyle w:val="14"/>
              <w:ind w:firstLine="0" w:firstLineChars="0"/>
              <w:jc w:val="center"/>
              <w:rPr>
                <w:rFonts w:ascii="Times New Roman"/>
                <w:sz w:val="18"/>
                <w:szCs w:val="18"/>
              </w:rPr>
            </w:pPr>
            <w:r>
              <w:rPr>
                <w:rFonts w:hint="eastAsia" w:ascii="Times New Roman"/>
                <w:sz w:val="18"/>
                <w:szCs w:val="18"/>
              </w:rPr>
              <w:t>25</w:t>
            </w:r>
          </w:p>
        </w:tc>
        <w:tc>
          <w:tcPr>
            <w:tcW w:w="647" w:type="dxa"/>
            <w:vMerge w:val="continue"/>
            <w:tcBorders>
              <w:left w:val="single" w:color="auto" w:sz="4" w:space="0"/>
            </w:tcBorders>
            <w:vAlign w:val="center"/>
          </w:tcPr>
          <w:p w14:paraId="1AB1A6F5">
            <w:pPr>
              <w:widowControl/>
              <w:jc w:val="center"/>
              <w:rPr>
                <w:rFonts w:ascii="宋体" w:hAnsi="宋体"/>
                <w:kern w:val="0"/>
                <w:sz w:val="18"/>
                <w:szCs w:val="18"/>
              </w:rPr>
            </w:pPr>
          </w:p>
        </w:tc>
        <w:tc>
          <w:tcPr>
            <w:tcW w:w="691" w:type="dxa"/>
            <w:vMerge w:val="continue"/>
            <w:tcBorders>
              <w:top w:val="single" w:color="auto" w:sz="4" w:space="0"/>
              <w:bottom w:val="single" w:color="auto" w:sz="4" w:space="0"/>
              <w:right w:val="single" w:color="auto" w:sz="4" w:space="0"/>
            </w:tcBorders>
            <w:vAlign w:val="center"/>
          </w:tcPr>
          <w:p w14:paraId="45F3D8B5">
            <w:pPr>
              <w:widowControl/>
              <w:jc w:val="left"/>
              <w:rPr>
                <w:rFonts w:ascii="宋体" w:hAnsi="宋体"/>
                <w:kern w:val="0"/>
                <w:sz w:val="18"/>
                <w:szCs w:val="18"/>
              </w:rPr>
            </w:pPr>
          </w:p>
        </w:tc>
        <w:tc>
          <w:tcPr>
            <w:tcW w:w="2132" w:type="dxa"/>
            <w:gridSpan w:val="2"/>
            <w:tcBorders>
              <w:top w:val="single" w:color="auto" w:sz="4" w:space="0"/>
              <w:left w:val="single" w:color="auto" w:sz="4" w:space="0"/>
              <w:bottom w:val="single" w:color="auto" w:sz="4" w:space="0"/>
              <w:right w:val="single" w:color="auto" w:sz="4" w:space="0"/>
            </w:tcBorders>
          </w:tcPr>
          <w:p w14:paraId="625C0900">
            <w:pPr>
              <w:pStyle w:val="14"/>
              <w:ind w:firstLine="0" w:firstLineChars="0"/>
              <w:rPr>
                <w:sz w:val="18"/>
                <w:szCs w:val="18"/>
              </w:rPr>
            </w:pPr>
            <w:r>
              <w:rPr>
                <w:rFonts w:hint="eastAsia"/>
                <w:sz w:val="18"/>
                <w:szCs w:val="18"/>
              </w:rPr>
              <w:t>重金属铜（</w:t>
            </w:r>
            <w:r>
              <w:rPr>
                <w:sz w:val="18"/>
                <w:szCs w:val="18"/>
              </w:rPr>
              <w:t>mg/kg</w:t>
            </w:r>
            <w:r>
              <w:rPr>
                <w:rFonts w:hint="eastAsia"/>
                <w:sz w:val="18"/>
                <w:szCs w:val="18"/>
              </w:rPr>
              <w:t>）≤</w:t>
            </w:r>
          </w:p>
        </w:tc>
        <w:tc>
          <w:tcPr>
            <w:tcW w:w="2608" w:type="dxa"/>
            <w:tcBorders>
              <w:top w:val="single" w:color="auto" w:sz="4" w:space="0"/>
              <w:left w:val="single" w:color="auto" w:sz="4" w:space="0"/>
              <w:bottom w:val="single" w:color="auto" w:sz="4" w:space="0"/>
              <w:right w:val="single" w:color="auto" w:sz="4" w:space="0"/>
            </w:tcBorders>
            <w:vAlign w:val="center"/>
          </w:tcPr>
          <w:p w14:paraId="1AE2BF95">
            <w:pPr>
              <w:pStyle w:val="14"/>
              <w:ind w:firstLine="0" w:firstLineChars="0"/>
              <w:rPr>
                <w:rFonts w:ascii="Times New Roman"/>
                <w:sz w:val="18"/>
                <w:szCs w:val="18"/>
                <w:highlight w:val="yellow"/>
              </w:rPr>
            </w:pPr>
            <w:r>
              <w:rPr>
                <w:rFonts w:ascii="Times New Roman"/>
                <w:sz w:val="18"/>
                <w:szCs w:val="18"/>
              </w:rPr>
              <w:t>20</w:t>
            </w:r>
            <w:r>
              <w:rPr>
                <w:rFonts w:hint="eastAsia" w:ascii="Times New Roman"/>
                <w:sz w:val="18"/>
                <w:szCs w:val="18"/>
              </w:rPr>
              <w:t>.0</w:t>
            </w:r>
          </w:p>
        </w:tc>
        <w:tc>
          <w:tcPr>
            <w:tcW w:w="2744" w:type="dxa"/>
            <w:vMerge w:val="continue"/>
            <w:tcBorders>
              <w:top w:val="single" w:color="auto" w:sz="4" w:space="0"/>
              <w:left w:val="single" w:color="auto" w:sz="4" w:space="0"/>
              <w:bottom w:val="single" w:color="auto" w:sz="4" w:space="0"/>
            </w:tcBorders>
            <w:vAlign w:val="center"/>
          </w:tcPr>
          <w:p w14:paraId="58B65812">
            <w:pPr>
              <w:widowControl/>
              <w:jc w:val="left"/>
              <w:rPr>
                <w:rFonts w:ascii="宋体" w:hAnsi="宋体"/>
                <w:kern w:val="0"/>
                <w:sz w:val="18"/>
                <w:szCs w:val="18"/>
              </w:rPr>
            </w:pPr>
          </w:p>
        </w:tc>
      </w:tr>
      <w:tr w14:paraId="2BF2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749" w:type="dxa"/>
            <w:tcBorders>
              <w:top w:val="single" w:color="auto" w:sz="4" w:space="0"/>
              <w:bottom w:val="single" w:color="auto" w:sz="4" w:space="0"/>
              <w:right w:val="single" w:color="auto" w:sz="4" w:space="0"/>
            </w:tcBorders>
            <w:vAlign w:val="center"/>
          </w:tcPr>
          <w:p w14:paraId="776FE84A">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6</w:t>
            </w:r>
          </w:p>
        </w:tc>
        <w:tc>
          <w:tcPr>
            <w:tcW w:w="647" w:type="dxa"/>
            <w:vMerge w:val="continue"/>
            <w:tcBorders>
              <w:left w:val="single" w:color="auto" w:sz="4" w:space="0"/>
            </w:tcBorders>
            <w:vAlign w:val="center"/>
          </w:tcPr>
          <w:p w14:paraId="7475B0E9">
            <w:pPr>
              <w:widowControl/>
              <w:jc w:val="center"/>
              <w:rPr>
                <w:rFonts w:ascii="宋体" w:hAnsi="宋体"/>
                <w:kern w:val="0"/>
                <w:sz w:val="18"/>
                <w:szCs w:val="18"/>
              </w:rPr>
            </w:pPr>
          </w:p>
        </w:tc>
        <w:tc>
          <w:tcPr>
            <w:tcW w:w="691" w:type="dxa"/>
            <w:vMerge w:val="continue"/>
            <w:tcBorders>
              <w:top w:val="single" w:color="auto" w:sz="4" w:space="0"/>
              <w:bottom w:val="single" w:color="auto" w:sz="4" w:space="0"/>
              <w:right w:val="single" w:color="auto" w:sz="4" w:space="0"/>
            </w:tcBorders>
            <w:vAlign w:val="center"/>
          </w:tcPr>
          <w:p w14:paraId="34FF1235">
            <w:pPr>
              <w:widowControl/>
              <w:jc w:val="left"/>
              <w:rPr>
                <w:rFonts w:ascii="宋体" w:hAnsi="宋体"/>
                <w:kern w:val="0"/>
                <w:sz w:val="18"/>
                <w:szCs w:val="18"/>
              </w:rPr>
            </w:pPr>
          </w:p>
        </w:tc>
        <w:tc>
          <w:tcPr>
            <w:tcW w:w="2132" w:type="dxa"/>
            <w:gridSpan w:val="2"/>
            <w:tcBorders>
              <w:top w:val="single" w:color="auto" w:sz="4" w:space="0"/>
              <w:left w:val="single" w:color="auto" w:sz="4" w:space="0"/>
              <w:bottom w:val="single" w:color="auto" w:sz="4" w:space="0"/>
              <w:right w:val="single" w:color="auto" w:sz="4" w:space="0"/>
            </w:tcBorders>
          </w:tcPr>
          <w:p w14:paraId="421239FA">
            <w:pPr>
              <w:pStyle w:val="14"/>
              <w:ind w:firstLine="0" w:firstLineChars="0"/>
              <w:rPr>
                <w:sz w:val="18"/>
                <w:szCs w:val="18"/>
              </w:rPr>
            </w:pPr>
            <w:r>
              <w:rPr>
                <w:rFonts w:hint="eastAsia"/>
                <w:sz w:val="18"/>
                <w:szCs w:val="18"/>
              </w:rPr>
              <w:t>重金属总量（</w:t>
            </w:r>
            <w:r>
              <w:rPr>
                <w:sz w:val="18"/>
                <w:szCs w:val="18"/>
              </w:rPr>
              <w:t>mg/kg</w:t>
            </w:r>
            <w:r>
              <w:rPr>
                <w:rFonts w:hint="eastAsia"/>
                <w:sz w:val="18"/>
                <w:szCs w:val="18"/>
              </w:rPr>
              <w:t>）≤</w:t>
            </w:r>
          </w:p>
        </w:tc>
        <w:tc>
          <w:tcPr>
            <w:tcW w:w="2608" w:type="dxa"/>
            <w:tcBorders>
              <w:top w:val="single" w:color="auto" w:sz="4" w:space="0"/>
              <w:left w:val="single" w:color="auto" w:sz="4" w:space="0"/>
              <w:bottom w:val="single" w:color="auto" w:sz="4" w:space="0"/>
              <w:right w:val="single" w:color="auto" w:sz="4" w:space="0"/>
            </w:tcBorders>
            <w:vAlign w:val="center"/>
          </w:tcPr>
          <w:p w14:paraId="1D8E4F8F">
            <w:pPr>
              <w:pStyle w:val="14"/>
              <w:ind w:firstLine="0" w:firstLineChars="0"/>
              <w:rPr>
                <w:rFonts w:ascii="Times New Roman"/>
                <w:sz w:val="18"/>
                <w:szCs w:val="18"/>
              </w:rPr>
            </w:pPr>
            <w:r>
              <w:rPr>
                <w:rFonts w:hint="eastAsia" w:ascii="Times New Roman"/>
                <w:sz w:val="18"/>
                <w:szCs w:val="18"/>
              </w:rPr>
              <w:t>20.0</w:t>
            </w:r>
          </w:p>
        </w:tc>
        <w:tc>
          <w:tcPr>
            <w:tcW w:w="2744" w:type="dxa"/>
            <w:vMerge w:val="continue"/>
            <w:tcBorders>
              <w:top w:val="single" w:color="auto" w:sz="4" w:space="0"/>
              <w:left w:val="single" w:color="auto" w:sz="4" w:space="0"/>
              <w:bottom w:val="single" w:color="auto" w:sz="4" w:space="0"/>
            </w:tcBorders>
            <w:vAlign w:val="center"/>
          </w:tcPr>
          <w:p w14:paraId="2C924829">
            <w:pPr>
              <w:widowControl/>
              <w:jc w:val="left"/>
              <w:rPr>
                <w:rFonts w:ascii="宋体" w:hAnsi="宋体"/>
                <w:kern w:val="0"/>
                <w:sz w:val="18"/>
                <w:szCs w:val="18"/>
              </w:rPr>
            </w:pPr>
          </w:p>
        </w:tc>
      </w:tr>
      <w:tr w14:paraId="238E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9" w:type="dxa"/>
            <w:tcBorders>
              <w:top w:val="single" w:color="auto" w:sz="4" w:space="0"/>
            </w:tcBorders>
            <w:vAlign w:val="center"/>
          </w:tcPr>
          <w:p w14:paraId="5531B658">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7</w:t>
            </w:r>
          </w:p>
        </w:tc>
        <w:tc>
          <w:tcPr>
            <w:tcW w:w="647" w:type="dxa"/>
            <w:vMerge w:val="continue"/>
            <w:tcBorders>
              <w:left w:val="nil"/>
            </w:tcBorders>
            <w:vAlign w:val="center"/>
          </w:tcPr>
          <w:p w14:paraId="36B179C6">
            <w:pPr>
              <w:widowControl/>
              <w:jc w:val="center"/>
              <w:rPr>
                <w:rFonts w:ascii="宋体" w:hAnsi="宋体"/>
                <w:kern w:val="0"/>
                <w:sz w:val="18"/>
                <w:szCs w:val="18"/>
              </w:rPr>
            </w:pPr>
          </w:p>
        </w:tc>
        <w:tc>
          <w:tcPr>
            <w:tcW w:w="691" w:type="dxa"/>
            <w:tcBorders>
              <w:top w:val="single" w:color="auto" w:sz="4" w:space="0"/>
              <w:left w:val="nil"/>
            </w:tcBorders>
          </w:tcPr>
          <w:p w14:paraId="7563AABB">
            <w:pPr>
              <w:autoSpaceDE w:val="0"/>
              <w:autoSpaceDN w:val="0"/>
              <w:rPr>
                <w:rFonts w:ascii="Times New Roman"/>
                <w:sz w:val="18"/>
                <w:szCs w:val="18"/>
              </w:rPr>
            </w:pPr>
            <w:r>
              <w:rPr>
                <w:rFonts w:hint="eastAsia" w:ascii="Times New Roman"/>
                <w:sz w:val="18"/>
                <w:szCs w:val="18"/>
              </w:rPr>
              <w:t>农药最大残留限量指标</w:t>
            </w:r>
          </w:p>
        </w:tc>
        <w:tc>
          <w:tcPr>
            <w:tcW w:w="4740" w:type="dxa"/>
            <w:gridSpan w:val="3"/>
            <w:tcBorders>
              <w:top w:val="single" w:color="auto" w:sz="4" w:space="0"/>
              <w:left w:val="nil"/>
            </w:tcBorders>
          </w:tcPr>
          <w:p w14:paraId="46F47F4C">
            <w:pPr>
              <w:pStyle w:val="37"/>
              <w:spacing w:before="38"/>
              <w:ind w:left="84" w:right="69"/>
              <w:rPr>
                <w:rFonts w:ascii="Times New Roman" w:hAnsiTheme="minorHAnsi" w:eastAsiaTheme="minorEastAsia" w:cstheme="minorBidi"/>
                <w:color w:val="000000" w:themeColor="text1"/>
                <w:kern w:val="2"/>
                <w:sz w:val="18"/>
                <w:szCs w:val="18"/>
                <w:lang w:eastAsia="zh-CN"/>
              </w:rPr>
            </w:pPr>
            <w:r>
              <w:rPr>
                <w:rFonts w:hint="eastAsia" w:ascii="Times New Roman" w:hAnsiTheme="minorHAnsi" w:eastAsiaTheme="minorEastAsia" w:cstheme="minorBidi"/>
                <w:color w:val="000000" w:themeColor="text1"/>
                <w:kern w:val="2"/>
                <w:sz w:val="18"/>
                <w:szCs w:val="18"/>
                <w:lang w:eastAsia="zh-CN"/>
              </w:rPr>
              <w:t>符合GB 2763规定，药用应符合</w:t>
            </w:r>
            <w:r>
              <w:rPr>
                <w:rFonts w:ascii="Times New Roman" w:hAnsiTheme="minorHAnsi" w:eastAsiaTheme="minorEastAsia" w:cstheme="minorBidi"/>
                <w:color w:val="000000" w:themeColor="text1"/>
                <w:kern w:val="2"/>
                <w:sz w:val="18"/>
                <w:szCs w:val="18"/>
                <w:lang w:eastAsia="zh-CN"/>
              </w:rPr>
              <w:t>《中华人民共和国药典》(2020</w:t>
            </w:r>
            <w:r>
              <w:rPr>
                <w:rFonts w:hint="eastAsia" w:ascii="Times New Roman" w:hAnsiTheme="minorHAnsi" w:eastAsiaTheme="minorEastAsia" w:cstheme="minorBidi"/>
                <w:color w:val="000000" w:themeColor="text1"/>
                <w:kern w:val="2"/>
                <w:sz w:val="18"/>
                <w:szCs w:val="18"/>
                <w:lang w:eastAsia="zh-CN"/>
              </w:rPr>
              <w:t>版四部通则</w:t>
            </w:r>
            <w:r>
              <w:rPr>
                <w:rFonts w:ascii="Times New Roman" w:hAnsiTheme="minorHAnsi" w:eastAsiaTheme="minorEastAsia" w:cstheme="minorBidi"/>
                <w:color w:val="000000" w:themeColor="text1"/>
                <w:kern w:val="2"/>
                <w:sz w:val="18"/>
                <w:szCs w:val="18"/>
                <w:lang w:eastAsia="zh-CN"/>
              </w:rPr>
              <w:t>》</w:t>
            </w:r>
            <w:r>
              <w:rPr>
                <w:rFonts w:hint="eastAsia" w:ascii="Times New Roman" w:hAnsiTheme="minorHAnsi" w:eastAsiaTheme="minorEastAsia" w:cstheme="minorBidi"/>
                <w:color w:val="000000" w:themeColor="text1"/>
                <w:kern w:val="2"/>
                <w:sz w:val="18"/>
                <w:szCs w:val="18"/>
                <w:lang w:eastAsia="zh-CN"/>
              </w:rPr>
              <w:t>0212药材和饮片检定通则</w:t>
            </w:r>
            <w:r>
              <w:rPr>
                <w:rFonts w:ascii="Times New Roman" w:hAnsiTheme="minorHAnsi" w:eastAsiaTheme="minorEastAsia" w:cstheme="minorBidi"/>
                <w:color w:val="000000" w:themeColor="text1"/>
                <w:kern w:val="2"/>
                <w:sz w:val="18"/>
                <w:szCs w:val="18"/>
                <w:lang w:eastAsia="zh-CN"/>
              </w:rPr>
              <w:t>)</w:t>
            </w:r>
            <w:r>
              <w:rPr>
                <w:rFonts w:hint="eastAsia" w:ascii="Times New Roman" w:hAnsiTheme="minorHAnsi" w:eastAsiaTheme="minorEastAsia" w:cstheme="minorBidi"/>
                <w:color w:val="000000" w:themeColor="text1"/>
                <w:kern w:val="2"/>
                <w:sz w:val="18"/>
                <w:szCs w:val="18"/>
                <w:lang w:eastAsia="zh-CN"/>
              </w:rPr>
              <w:t>植物药</w:t>
            </w:r>
            <w:r>
              <w:rPr>
                <w:rFonts w:ascii="Times New Roman" w:hAnsiTheme="minorHAnsi" w:eastAsiaTheme="minorEastAsia" w:cstheme="minorBidi"/>
                <w:color w:val="000000" w:themeColor="text1"/>
                <w:kern w:val="2"/>
                <w:sz w:val="18"/>
                <w:szCs w:val="18"/>
                <w:lang w:eastAsia="zh-CN"/>
              </w:rPr>
              <w:t>33种禁用农药残留限量要求</w:t>
            </w:r>
            <w:r>
              <w:rPr>
                <w:rFonts w:hint="eastAsia" w:ascii="Times New Roman" w:hAnsiTheme="minorHAnsi" w:eastAsiaTheme="minorEastAsia" w:cstheme="minorBidi"/>
                <w:color w:val="000000" w:themeColor="text1"/>
                <w:kern w:val="2"/>
                <w:sz w:val="18"/>
                <w:szCs w:val="18"/>
                <w:lang w:eastAsia="zh-CN"/>
              </w:rPr>
              <w:t>。</w:t>
            </w:r>
          </w:p>
        </w:tc>
        <w:tc>
          <w:tcPr>
            <w:tcW w:w="2744" w:type="dxa"/>
            <w:tcBorders>
              <w:top w:val="single" w:color="auto" w:sz="4" w:space="0"/>
              <w:left w:val="nil"/>
            </w:tcBorders>
          </w:tcPr>
          <w:p w14:paraId="1E83B03D">
            <w:pPr>
              <w:pStyle w:val="37"/>
              <w:spacing w:before="38"/>
              <w:ind w:left="84" w:right="69"/>
              <w:rPr>
                <w:rFonts w:ascii="Times New Roman" w:hAnsiTheme="minorHAnsi" w:eastAsiaTheme="minorEastAsia" w:cstheme="minorBidi"/>
                <w:color w:val="000000" w:themeColor="text1"/>
                <w:kern w:val="2"/>
                <w:sz w:val="18"/>
                <w:szCs w:val="18"/>
                <w:lang w:eastAsia="zh-CN"/>
              </w:rPr>
            </w:pPr>
            <w:r>
              <w:rPr>
                <w:rFonts w:ascii="Times New Roman" w:hAnsiTheme="minorHAnsi" w:eastAsiaTheme="minorEastAsia" w:cstheme="minorBidi"/>
                <w:color w:val="000000" w:themeColor="text1"/>
                <w:kern w:val="2"/>
                <w:sz w:val="18"/>
                <w:szCs w:val="18"/>
                <w:lang w:eastAsia="zh-CN"/>
              </w:rPr>
              <w:t>查看产品检测报告</w:t>
            </w:r>
          </w:p>
          <w:p w14:paraId="3DA1A2F2">
            <w:pPr>
              <w:pStyle w:val="37"/>
              <w:spacing w:before="38"/>
              <w:ind w:left="84" w:right="69"/>
              <w:rPr>
                <w:rFonts w:ascii="Times New Roman"/>
                <w:color w:val="000000" w:themeColor="text1"/>
                <w:sz w:val="18"/>
                <w:szCs w:val="18"/>
                <w:lang w:eastAsia="zh-CN"/>
              </w:rPr>
            </w:pPr>
            <w:r>
              <w:rPr>
                <w:rFonts w:hint="eastAsia" w:ascii="Times New Roman"/>
                <w:color w:val="000000" w:themeColor="text1"/>
                <w:sz w:val="18"/>
                <w:szCs w:val="18"/>
                <w:lang w:eastAsia="zh-CN"/>
              </w:rPr>
              <w:t>农药残留限量检查：按《中华人民共和国药典》</w:t>
            </w:r>
            <w:r>
              <w:rPr>
                <w:rFonts w:ascii="Times New Roman"/>
                <w:color w:val="000000" w:themeColor="text1"/>
                <w:sz w:val="18"/>
                <w:szCs w:val="18"/>
                <w:lang w:eastAsia="zh-CN"/>
              </w:rPr>
              <w:t xml:space="preserve">(2020 </w:t>
            </w:r>
            <w:r>
              <w:rPr>
                <w:rFonts w:hint="eastAsia" w:ascii="Times New Roman"/>
                <w:color w:val="000000" w:themeColor="text1"/>
                <w:sz w:val="18"/>
                <w:szCs w:val="18"/>
                <w:lang w:eastAsia="zh-CN"/>
              </w:rPr>
              <w:t>版四部通则</w:t>
            </w:r>
            <w:r>
              <w:rPr>
                <w:rFonts w:ascii="Times New Roman"/>
                <w:color w:val="000000" w:themeColor="text1"/>
                <w:sz w:val="18"/>
                <w:szCs w:val="18"/>
                <w:lang w:eastAsia="zh-CN"/>
              </w:rPr>
              <w:t>23</w:t>
            </w:r>
            <w:r>
              <w:rPr>
                <w:rFonts w:hint="eastAsia" w:ascii="Times New Roman"/>
                <w:color w:val="000000" w:themeColor="text1"/>
                <w:sz w:val="18"/>
                <w:szCs w:val="18"/>
                <w:lang w:eastAsia="zh-CN"/>
              </w:rPr>
              <w:t>4</w:t>
            </w:r>
            <w:r>
              <w:rPr>
                <w:rFonts w:ascii="Times New Roman"/>
                <w:color w:val="000000" w:themeColor="text1"/>
                <w:sz w:val="18"/>
                <w:szCs w:val="18"/>
                <w:lang w:eastAsia="zh-CN"/>
              </w:rPr>
              <w:t>1</w:t>
            </w:r>
            <w:r>
              <w:rPr>
                <w:rFonts w:hint="eastAsia" w:ascii="Times New Roman"/>
                <w:color w:val="000000" w:themeColor="text1"/>
                <w:sz w:val="18"/>
                <w:szCs w:val="18"/>
                <w:lang w:eastAsia="zh-CN"/>
              </w:rPr>
              <w:t>)中药农残测定方法。</w:t>
            </w:r>
          </w:p>
        </w:tc>
      </w:tr>
      <w:tr w14:paraId="6CFF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9" w:type="dxa"/>
            <w:tcBorders>
              <w:top w:val="single" w:color="auto" w:sz="4" w:space="0"/>
            </w:tcBorders>
            <w:vAlign w:val="center"/>
          </w:tcPr>
          <w:p w14:paraId="77438F47">
            <w:pPr>
              <w:pStyle w:val="14"/>
              <w:ind w:firstLine="0" w:firstLineChars="0"/>
              <w:jc w:val="center"/>
              <w:rPr>
                <w:rFonts w:ascii="Times New Roman"/>
                <w:sz w:val="18"/>
                <w:szCs w:val="18"/>
              </w:rPr>
            </w:pPr>
            <w:r>
              <w:rPr>
                <w:rFonts w:ascii="Times New Roman"/>
                <w:sz w:val="18"/>
                <w:szCs w:val="18"/>
              </w:rPr>
              <w:t>2</w:t>
            </w:r>
            <w:r>
              <w:rPr>
                <w:rFonts w:hint="eastAsia" w:ascii="Times New Roman"/>
                <w:sz w:val="18"/>
                <w:szCs w:val="18"/>
              </w:rPr>
              <w:t>8</w:t>
            </w:r>
          </w:p>
        </w:tc>
        <w:tc>
          <w:tcPr>
            <w:tcW w:w="647" w:type="dxa"/>
            <w:vMerge w:val="continue"/>
            <w:tcBorders>
              <w:left w:val="nil"/>
            </w:tcBorders>
            <w:vAlign w:val="center"/>
          </w:tcPr>
          <w:p w14:paraId="6B6B032D">
            <w:pPr>
              <w:widowControl/>
              <w:jc w:val="center"/>
              <w:rPr>
                <w:rFonts w:ascii="宋体" w:hAnsi="宋体"/>
                <w:kern w:val="0"/>
                <w:sz w:val="18"/>
                <w:szCs w:val="18"/>
              </w:rPr>
            </w:pPr>
          </w:p>
        </w:tc>
        <w:tc>
          <w:tcPr>
            <w:tcW w:w="691" w:type="dxa"/>
            <w:tcBorders>
              <w:top w:val="single" w:color="auto" w:sz="4" w:space="0"/>
              <w:left w:val="nil"/>
            </w:tcBorders>
          </w:tcPr>
          <w:p w14:paraId="6F33735E">
            <w:pPr>
              <w:pStyle w:val="14"/>
              <w:ind w:firstLine="0" w:firstLineChars="0"/>
              <w:rPr>
                <w:sz w:val="18"/>
                <w:szCs w:val="18"/>
              </w:rPr>
            </w:pPr>
            <w:r>
              <w:rPr>
                <w:rFonts w:hint="eastAsia"/>
                <w:sz w:val="18"/>
                <w:szCs w:val="18"/>
              </w:rPr>
              <w:t>包装</w:t>
            </w:r>
          </w:p>
        </w:tc>
        <w:tc>
          <w:tcPr>
            <w:tcW w:w="4740" w:type="dxa"/>
            <w:gridSpan w:val="3"/>
            <w:tcBorders>
              <w:top w:val="single" w:color="auto" w:sz="4" w:space="0"/>
              <w:left w:val="nil"/>
            </w:tcBorders>
          </w:tcPr>
          <w:p w14:paraId="7F01EF51">
            <w:pPr>
              <w:pStyle w:val="14"/>
              <w:ind w:firstLine="0" w:firstLineChars="0"/>
              <w:rPr>
                <w:rFonts w:ascii="Times New Roman"/>
                <w:sz w:val="18"/>
                <w:szCs w:val="18"/>
              </w:rPr>
            </w:pPr>
            <w:r>
              <w:rPr>
                <w:rFonts w:hint="eastAsia" w:ascii="Times New Roman"/>
                <w:sz w:val="18"/>
                <w:szCs w:val="18"/>
              </w:rPr>
              <w:t>包装须遵循</w:t>
            </w:r>
            <w:r>
              <w:rPr>
                <w:rFonts w:ascii="Times New Roman"/>
                <w:sz w:val="18"/>
                <w:szCs w:val="18"/>
              </w:rPr>
              <w:t>SB/T 11182</w:t>
            </w:r>
            <w:r>
              <w:rPr>
                <w:rFonts w:hint="eastAsia" w:ascii="Times New Roman"/>
                <w:sz w:val="18"/>
                <w:szCs w:val="18"/>
              </w:rPr>
              <w:t>的规定。</w:t>
            </w:r>
          </w:p>
        </w:tc>
        <w:tc>
          <w:tcPr>
            <w:tcW w:w="2744" w:type="dxa"/>
            <w:tcBorders>
              <w:top w:val="single" w:color="auto" w:sz="4" w:space="0"/>
              <w:left w:val="nil"/>
            </w:tcBorders>
          </w:tcPr>
          <w:p w14:paraId="62D7CBCD">
            <w:pPr>
              <w:pStyle w:val="14"/>
              <w:ind w:firstLine="0" w:firstLineChars="0"/>
              <w:rPr>
                <w:sz w:val="18"/>
                <w:szCs w:val="18"/>
              </w:rPr>
            </w:pPr>
            <w:r>
              <w:rPr>
                <w:rFonts w:hint="eastAsia"/>
                <w:sz w:val="18"/>
                <w:szCs w:val="18"/>
              </w:rPr>
              <w:t>查看包装材料</w:t>
            </w:r>
          </w:p>
        </w:tc>
      </w:tr>
      <w:tr w14:paraId="6790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vAlign w:val="center"/>
          </w:tcPr>
          <w:p w14:paraId="5931695E">
            <w:pPr>
              <w:pStyle w:val="14"/>
              <w:ind w:firstLine="0" w:firstLineChars="0"/>
              <w:jc w:val="center"/>
              <w:rPr>
                <w:rFonts w:ascii="Times New Roman"/>
                <w:sz w:val="18"/>
                <w:szCs w:val="18"/>
              </w:rPr>
            </w:pPr>
            <w:r>
              <w:rPr>
                <w:rFonts w:hint="eastAsia" w:ascii="Times New Roman"/>
                <w:sz w:val="18"/>
                <w:szCs w:val="18"/>
              </w:rPr>
              <w:t>29</w:t>
            </w:r>
          </w:p>
        </w:tc>
        <w:tc>
          <w:tcPr>
            <w:tcW w:w="647" w:type="dxa"/>
            <w:vMerge w:val="continue"/>
            <w:tcBorders>
              <w:left w:val="nil"/>
            </w:tcBorders>
            <w:vAlign w:val="center"/>
          </w:tcPr>
          <w:p w14:paraId="5D2A0733">
            <w:pPr>
              <w:widowControl/>
              <w:jc w:val="center"/>
              <w:rPr>
                <w:rFonts w:ascii="宋体" w:hAnsi="宋体"/>
                <w:kern w:val="0"/>
                <w:sz w:val="18"/>
                <w:szCs w:val="18"/>
              </w:rPr>
            </w:pPr>
          </w:p>
        </w:tc>
        <w:tc>
          <w:tcPr>
            <w:tcW w:w="691" w:type="dxa"/>
            <w:tcBorders>
              <w:left w:val="nil"/>
            </w:tcBorders>
          </w:tcPr>
          <w:p w14:paraId="6008EB16">
            <w:pPr>
              <w:pStyle w:val="14"/>
              <w:ind w:firstLine="0" w:firstLineChars="0"/>
              <w:rPr>
                <w:sz w:val="18"/>
                <w:szCs w:val="18"/>
              </w:rPr>
            </w:pPr>
            <w:r>
              <w:rPr>
                <w:rFonts w:hint="eastAsia"/>
                <w:sz w:val="18"/>
                <w:szCs w:val="18"/>
              </w:rPr>
              <w:t>标识</w:t>
            </w:r>
          </w:p>
        </w:tc>
        <w:tc>
          <w:tcPr>
            <w:tcW w:w="4740" w:type="dxa"/>
            <w:gridSpan w:val="3"/>
            <w:tcBorders>
              <w:left w:val="nil"/>
            </w:tcBorders>
          </w:tcPr>
          <w:p w14:paraId="67F4636C">
            <w:pPr>
              <w:pStyle w:val="14"/>
              <w:ind w:firstLine="0" w:firstLineChars="0"/>
              <w:rPr>
                <w:rFonts w:ascii="Times New Roman"/>
                <w:sz w:val="18"/>
                <w:szCs w:val="18"/>
              </w:rPr>
            </w:pPr>
            <w:r>
              <w:rPr>
                <w:rFonts w:hint="eastAsia" w:ascii="Times New Roman"/>
                <w:sz w:val="18"/>
                <w:szCs w:val="18"/>
              </w:rPr>
              <w:t>应按照</w:t>
            </w:r>
            <w:r>
              <w:rPr>
                <w:rFonts w:ascii="Times New Roman"/>
                <w:sz w:val="18"/>
                <w:szCs w:val="18"/>
              </w:rPr>
              <w:t xml:space="preserve"> SB/T 11039 </w:t>
            </w:r>
            <w:r>
              <w:rPr>
                <w:rFonts w:hint="eastAsia" w:ascii="Times New Roman"/>
                <w:sz w:val="18"/>
                <w:szCs w:val="18"/>
              </w:rPr>
              <w:t>的要求在包装上印制中药材追溯通用标识</w:t>
            </w:r>
          </w:p>
        </w:tc>
        <w:tc>
          <w:tcPr>
            <w:tcW w:w="2744" w:type="dxa"/>
            <w:tcBorders>
              <w:left w:val="nil"/>
            </w:tcBorders>
          </w:tcPr>
          <w:p w14:paraId="64506365">
            <w:pPr>
              <w:pStyle w:val="14"/>
              <w:ind w:firstLine="0" w:firstLineChars="0"/>
              <w:rPr>
                <w:sz w:val="18"/>
                <w:szCs w:val="18"/>
              </w:rPr>
            </w:pPr>
            <w:r>
              <w:rPr>
                <w:rFonts w:hint="eastAsia"/>
                <w:sz w:val="18"/>
                <w:szCs w:val="18"/>
              </w:rPr>
              <w:t>查看产品标签标识</w:t>
            </w:r>
          </w:p>
        </w:tc>
      </w:tr>
      <w:tr w14:paraId="7AC7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bottom w:val="single" w:color="auto" w:sz="4" w:space="0"/>
            </w:tcBorders>
            <w:vAlign w:val="center"/>
          </w:tcPr>
          <w:p w14:paraId="75D4B198">
            <w:pPr>
              <w:pStyle w:val="14"/>
              <w:ind w:firstLine="0" w:firstLineChars="0"/>
              <w:jc w:val="center"/>
              <w:rPr>
                <w:rFonts w:ascii="Times New Roman"/>
                <w:sz w:val="18"/>
                <w:szCs w:val="18"/>
              </w:rPr>
            </w:pPr>
            <w:r>
              <w:rPr>
                <w:rFonts w:hint="eastAsia" w:ascii="Times New Roman"/>
                <w:sz w:val="18"/>
                <w:szCs w:val="18"/>
              </w:rPr>
              <w:t>30</w:t>
            </w:r>
          </w:p>
        </w:tc>
        <w:tc>
          <w:tcPr>
            <w:tcW w:w="647" w:type="dxa"/>
            <w:vMerge w:val="continue"/>
            <w:tcBorders>
              <w:left w:val="nil"/>
            </w:tcBorders>
            <w:vAlign w:val="center"/>
          </w:tcPr>
          <w:p w14:paraId="12F512C3">
            <w:pPr>
              <w:widowControl/>
              <w:jc w:val="center"/>
              <w:rPr>
                <w:rFonts w:ascii="宋体" w:hAnsi="宋体"/>
                <w:kern w:val="0"/>
                <w:sz w:val="18"/>
                <w:szCs w:val="18"/>
              </w:rPr>
            </w:pPr>
          </w:p>
        </w:tc>
        <w:tc>
          <w:tcPr>
            <w:tcW w:w="691" w:type="dxa"/>
            <w:tcBorders>
              <w:left w:val="nil"/>
              <w:bottom w:val="single" w:color="auto" w:sz="4" w:space="0"/>
            </w:tcBorders>
            <w:vAlign w:val="center"/>
          </w:tcPr>
          <w:p w14:paraId="19C098C6">
            <w:pPr>
              <w:pStyle w:val="14"/>
              <w:ind w:firstLine="0" w:firstLineChars="0"/>
              <w:jc w:val="center"/>
              <w:rPr>
                <w:sz w:val="18"/>
                <w:szCs w:val="18"/>
              </w:rPr>
            </w:pPr>
            <w:r>
              <w:rPr>
                <w:rFonts w:hint="eastAsia"/>
                <w:sz w:val="18"/>
                <w:szCs w:val="18"/>
              </w:rPr>
              <w:t>仓储</w:t>
            </w:r>
          </w:p>
        </w:tc>
        <w:tc>
          <w:tcPr>
            <w:tcW w:w="4740" w:type="dxa"/>
            <w:gridSpan w:val="3"/>
            <w:tcBorders>
              <w:left w:val="nil"/>
              <w:bottom w:val="single" w:color="auto" w:sz="4" w:space="0"/>
            </w:tcBorders>
          </w:tcPr>
          <w:p w14:paraId="63AA220D">
            <w:pPr>
              <w:pStyle w:val="14"/>
              <w:ind w:firstLine="0" w:firstLineChars="0"/>
              <w:rPr>
                <w:sz w:val="18"/>
                <w:szCs w:val="18"/>
              </w:rPr>
            </w:pPr>
            <w:r>
              <w:rPr>
                <w:rFonts w:hint="eastAsia"/>
                <w:sz w:val="18"/>
                <w:szCs w:val="18"/>
              </w:rPr>
              <w:t>包装后的产品应置于室内干燥的阴凉库贮藏,并防潮。仓库环境条件应符合</w:t>
            </w:r>
            <w:r>
              <w:rPr>
                <w:sz w:val="18"/>
                <w:szCs w:val="18"/>
              </w:rPr>
              <w:t xml:space="preserve"> SB/T 11095 </w:t>
            </w:r>
            <w:r>
              <w:rPr>
                <w:rFonts w:hint="eastAsia"/>
                <w:sz w:val="18"/>
                <w:szCs w:val="18"/>
              </w:rPr>
              <w:t>的要求,仓储管理应符合</w:t>
            </w:r>
            <w:r>
              <w:rPr>
                <w:sz w:val="18"/>
                <w:szCs w:val="18"/>
              </w:rPr>
              <w:t xml:space="preserve"> SB/T11094 </w:t>
            </w:r>
            <w:r>
              <w:rPr>
                <w:rFonts w:hint="eastAsia"/>
                <w:sz w:val="18"/>
                <w:szCs w:val="18"/>
              </w:rPr>
              <w:t>的规定</w:t>
            </w:r>
          </w:p>
        </w:tc>
        <w:tc>
          <w:tcPr>
            <w:tcW w:w="2744" w:type="dxa"/>
            <w:tcBorders>
              <w:left w:val="nil"/>
            </w:tcBorders>
          </w:tcPr>
          <w:p w14:paraId="22E74A06">
            <w:pPr>
              <w:pStyle w:val="14"/>
              <w:ind w:firstLine="0" w:firstLineChars="0"/>
              <w:rPr>
                <w:sz w:val="18"/>
                <w:szCs w:val="18"/>
              </w:rPr>
            </w:pPr>
            <w:r>
              <w:rPr>
                <w:rFonts w:hint="eastAsia"/>
                <w:sz w:val="18"/>
                <w:szCs w:val="18"/>
              </w:rPr>
              <w:t>查看仓库日常记录</w:t>
            </w:r>
          </w:p>
        </w:tc>
      </w:tr>
      <w:tr w14:paraId="01A0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bottom w:val="single" w:color="auto" w:sz="4" w:space="0"/>
            </w:tcBorders>
            <w:vAlign w:val="center"/>
          </w:tcPr>
          <w:p w14:paraId="0888F2C6">
            <w:pPr>
              <w:pStyle w:val="14"/>
              <w:ind w:firstLine="0" w:firstLineChars="0"/>
              <w:jc w:val="center"/>
              <w:rPr>
                <w:rFonts w:ascii="Times New Roman"/>
                <w:sz w:val="18"/>
                <w:szCs w:val="18"/>
              </w:rPr>
            </w:pPr>
            <w:r>
              <w:rPr>
                <w:rFonts w:hint="eastAsia" w:ascii="Times New Roman"/>
                <w:sz w:val="18"/>
                <w:szCs w:val="18"/>
              </w:rPr>
              <w:t>31</w:t>
            </w:r>
          </w:p>
        </w:tc>
        <w:tc>
          <w:tcPr>
            <w:tcW w:w="647" w:type="dxa"/>
            <w:vMerge w:val="continue"/>
            <w:tcBorders>
              <w:left w:val="nil"/>
            </w:tcBorders>
            <w:vAlign w:val="center"/>
          </w:tcPr>
          <w:p w14:paraId="5701A78C">
            <w:pPr>
              <w:widowControl/>
              <w:jc w:val="center"/>
              <w:rPr>
                <w:rFonts w:ascii="宋体" w:hAnsi="宋体"/>
                <w:kern w:val="0"/>
                <w:sz w:val="18"/>
                <w:szCs w:val="18"/>
              </w:rPr>
            </w:pPr>
          </w:p>
        </w:tc>
        <w:tc>
          <w:tcPr>
            <w:tcW w:w="691" w:type="dxa"/>
            <w:tcBorders>
              <w:top w:val="single" w:color="auto" w:sz="4" w:space="0"/>
              <w:left w:val="nil"/>
              <w:bottom w:val="single" w:color="auto" w:sz="4" w:space="0"/>
            </w:tcBorders>
            <w:vAlign w:val="center"/>
          </w:tcPr>
          <w:p w14:paraId="41794E8F">
            <w:pPr>
              <w:pStyle w:val="14"/>
              <w:ind w:firstLine="0" w:firstLineChars="0"/>
              <w:jc w:val="center"/>
              <w:rPr>
                <w:sz w:val="18"/>
                <w:szCs w:val="18"/>
              </w:rPr>
            </w:pPr>
            <w:r>
              <w:rPr>
                <w:rFonts w:hint="eastAsia"/>
                <w:sz w:val="18"/>
                <w:szCs w:val="18"/>
              </w:rPr>
              <w:t>运输</w:t>
            </w:r>
          </w:p>
        </w:tc>
        <w:tc>
          <w:tcPr>
            <w:tcW w:w="4740" w:type="dxa"/>
            <w:gridSpan w:val="3"/>
            <w:tcBorders>
              <w:top w:val="single" w:color="auto" w:sz="4" w:space="0"/>
              <w:left w:val="nil"/>
              <w:bottom w:val="single" w:color="auto" w:sz="4" w:space="0"/>
            </w:tcBorders>
          </w:tcPr>
          <w:p w14:paraId="39D2B739">
            <w:pPr>
              <w:pStyle w:val="14"/>
              <w:ind w:firstLine="0" w:firstLineChars="0"/>
              <w:rPr>
                <w:sz w:val="18"/>
                <w:szCs w:val="18"/>
              </w:rPr>
            </w:pPr>
            <w:r>
              <w:rPr>
                <w:rFonts w:hint="eastAsia"/>
                <w:sz w:val="18"/>
                <w:szCs w:val="18"/>
              </w:rPr>
              <w:t>运输工具或容器应具有较好的通气性,以保持干燥。不得与其它有毒、有害物质混装。</w:t>
            </w:r>
          </w:p>
        </w:tc>
        <w:tc>
          <w:tcPr>
            <w:tcW w:w="2744" w:type="dxa"/>
            <w:tcBorders>
              <w:left w:val="nil"/>
            </w:tcBorders>
          </w:tcPr>
          <w:p w14:paraId="11D3142B">
            <w:pPr>
              <w:pStyle w:val="14"/>
              <w:ind w:firstLine="0" w:firstLineChars="0"/>
              <w:rPr>
                <w:sz w:val="18"/>
                <w:szCs w:val="18"/>
              </w:rPr>
            </w:pPr>
            <w:r>
              <w:rPr>
                <w:rFonts w:hint="eastAsia"/>
                <w:sz w:val="18"/>
                <w:szCs w:val="18"/>
              </w:rPr>
              <w:t>查看运输工具、清洁消毒记录</w:t>
            </w:r>
          </w:p>
        </w:tc>
      </w:tr>
      <w:tr w14:paraId="6CDC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bottom w:val="single" w:color="auto" w:sz="4" w:space="0"/>
            </w:tcBorders>
            <w:vAlign w:val="center"/>
          </w:tcPr>
          <w:p w14:paraId="30348F2D">
            <w:pPr>
              <w:pStyle w:val="14"/>
              <w:ind w:firstLine="0" w:firstLineChars="0"/>
              <w:jc w:val="center"/>
              <w:rPr>
                <w:rFonts w:ascii="Times New Roman"/>
                <w:sz w:val="18"/>
                <w:szCs w:val="18"/>
              </w:rPr>
            </w:pPr>
            <w:r>
              <w:rPr>
                <w:rFonts w:hint="eastAsia" w:ascii="Times New Roman"/>
                <w:sz w:val="18"/>
                <w:szCs w:val="18"/>
              </w:rPr>
              <w:t>32</w:t>
            </w:r>
          </w:p>
        </w:tc>
        <w:tc>
          <w:tcPr>
            <w:tcW w:w="647" w:type="dxa"/>
            <w:vMerge w:val="continue"/>
            <w:tcBorders>
              <w:left w:val="nil"/>
            </w:tcBorders>
            <w:vAlign w:val="center"/>
          </w:tcPr>
          <w:p w14:paraId="15789FC0">
            <w:pPr>
              <w:widowControl/>
              <w:jc w:val="center"/>
              <w:rPr>
                <w:rFonts w:ascii="宋体" w:hAnsi="宋体"/>
                <w:kern w:val="0"/>
                <w:sz w:val="18"/>
                <w:szCs w:val="18"/>
              </w:rPr>
            </w:pPr>
          </w:p>
        </w:tc>
        <w:tc>
          <w:tcPr>
            <w:tcW w:w="691" w:type="dxa"/>
            <w:tcBorders>
              <w:top w:val="single" w:color="auto" w:sz="4" w:space="0"/>
              <w:left w:val="nil"/>
              <w:bottom w:val="single" w:color="auto" w:sz="4" w:space="0"/>
            </w:tcBorders>
          </w:tcPr>
          <w:p w14:paraId="7FCAACA4">
            <w:pPr>
              <w:pStyle w:val="14"/>
              <w:ind w:firstLine="0" w:firstLineChars="0"/>
              <w:jc w:val="center"/>
              <w:rPr>
                <w:sz w:val="18"/>
                <w:szCs w:val="18"/>
              </w:rPr>
            </w:pPr>
            <w:r>
              <w:rPr>
                <w:rFonts w:hint="eastAsia"/>
                <w:sz w:val="18"/>
                <w:szCs w:val="18"/>
              </w:rPr>
              <w:t>溯源管理</w:t>
            </w:r>
          </w:p>
        </w:tc>
        <w:tc>
          <w:tcPr>
            <w:tcW w:w="4740" w:type="dxa"/>
            <w:gridSpan w:val="3"/>
            <w:tcBorders>
              <w:top w:val="single" w:color="auto" w:sz="4" w:space="0"/>
              <w:left w:val="nil"/>
              <w:bottom w:val="single" w:color="auto" w:sz="4" w:space="0"/>
            </w:tcBorders>
          </w:tcPr>
          <w:p w14:paraId="4351AEEE">
            <w:pPr>
              <w:pStyle w:val="14"/>
              <w:ind w:firstLine="0" w:firstLineChars="0"/>
              <w:rPr>
                <w:sz w:val="18"/>
                <w:szCs w:val="18"/>
              </w:rPr>
            </w:pPr>
            <w:r>
              <w:rPr>
                <w:rFonts w:hint="eastAsia"/>
                <w:sz w:val="18"/>
                <w:szCs w:val="18"/>
              </w:rPr>
              <w:t>建立质量追溯系统，实行专人管理，记录生产全过程从种苗到产品的所有关键环节数据</w:t>
            </w:r>
          </w:p>
        </w:tc>
        <w:tc>
          <w:tcPr>
            <w:tcW w:w="2744" w:type="dxa"/>
            <w:tcBorders>
              <w:left w:val="nil"/>
            </w:tcBorders>
          </w:tcPr>
          <w:p w14:paraId="2AF3525C">
            <w:pPr>
              <w:pStyle w:val="14"/>
              <w:ind w:firstLine="0" w:firstLineChars="0"/>
              <w:rPr>
                <w:sz w:val="18"/>
                <w:szCs w:val="18"/>
              </w:rPr>
            </w:pPr>
            <w:r>
              <w:rPr>
                <w:rFonts w:hint="eastAsia"/>
                <w:sz w:val="18"/>
                <w:szCs w:val="18"/>
              </w:rPr>
              <w:t>查看溯源系统数据</w:t>
            </w:r>
          </w:p>
        </w:tc>
      </w:tr>
      <w:tr w14:paraId="09D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tcBorders>
            <w:vAlign w:val="center"/>
          </w:tcPr>
          <w:p w14:paraId="51632F98">
            <w:pPr>
              <w:pStyle w:val="14"/>
              <w:ind w:firstLine="0" w:firstLineChars="0"/>
              <w:jc w:val="center"/>
              <w:rPr>
                <w:rFonts w:ascii="Times New Roman"/>
                <w:sz w:val="18"/>
                <w:szCs w:val="18"/>
              </w:rPr>
            </w:pPr>
            <w:r>
              <w:rPr>
                <w:rFonts w:hint="eastAsia" w:ascii="Times New Roman"/>
                <w:sz w:val="18"/>
                <w:szCs w:val="18"/>
              </w:rPr>
              <w:t>33</w:t>
            </w:r>
          </w:p>
        </w:tc>
        <w:tc>
          <w:tcPr>
            <w:tcW w:w="647" w:type="dxa"/>
            <w:vMerge w:val="continue"/>
            <w:tcBorders>
              <w:left w:val="nil"/>
            </w:tcBorders>
            <w:vAlign w:val="center"/>
          </w:tcPr>
          <w:p w14:paraId="51FE0F7A">
            <w:pPr>
              <w:widowControl/>
              <w:jc w:val="center"/>
              <w:rPr>
                <w:rFonts w:ascii="宋体" w:hAnsi="宋体"/>
                <w:kern w:val="0"/>
                <w:sz w:val="18"/>
                <w:szCs w:val="18"/>
              </w:rPr>
            </w:pPr>
          </w:p>
        </w:tc>
        <w:tc>
          <w:tcPr>
            <w:tcW w:w="691" w:type="dxa"/>
            <w:tcBorders>
              <w:top w:val="single" w:color="auto" w:sz="4" w:space="0"/>
              <w:left w:val="nil"/>
            </w:tcBorders>
          </w:tcPr>
          <w:p w14:paraId="0D1DA7D5">
            <w:pPr>
              <w:pStyle w:val="14"/>
              <w:ind w:firstLine="0" w:firstLineChars="0"/>
              <w:jc w:val="center"/>
              <w:rPr>
                <w:sz w:val="18"/>
                <w:szCs w:val="18"/>
              </w:rPr>
            </w:pPr>
            <w:r>
              <w:rPr>
                <w:sz w:val="18"/>
                <w:szCs w:val="18"/>
              </w:rPr>
              <w:t>档案管理</w:t>
            </w:r>
          </w:p>
        </w:tc>
        <w:tc>
          <w:tcPr>
            <w:tcW w:w="4740" w:type="dxa"/>
            <w:gridSpan w:val="3"/>
            <w:tcBorders>
              <w:top w:val="single" w:color="auto" w:sz="4" w:space="0"/>
              <w:left w:val="nil"/>
            </w:tcBorders>
          </w:tcPr>
          <w:p w14:paraId="29E7113E">
            <w:pPr>
              <w:pStyle w:val="14"/>
              <w:ind w:firstLine="0" w:firstLineChars="0"/>
              <w:rPr>
                <w:sz w:val="18"/>
                <w:szCs w:val="18"/>
              </w:rPr>
            </w:pPr>
            <w:r>
              <w:rPr>
                <w:sz w:val="18"/>
                <w:szCs w:val="18"/>
              </w:rPr>
              <w:t>应建立生产过程和主要措施的记录制度。生产档案应长期保存。</w:t>
            </w:r>
          </w:p>
        </w:tc>
        <w:tc>
          <w:tcPr>
            <w:tcW w:w="2744" w:type="dxa"/>
            <w:tcBorders>
              <w:left w:val="nil"/>
            </w:tcBorders>
          </w:tcPr>
          <w:p w14:paraId="2A409ED3">
            <w:pPr>
              <w:pStyle w:val="14"/>
              <w:ind w:firstLine="0" w:firstLineChars="0"/>
              <w:rPr>
                <w:sz w:val="18"/>
                <w:szCs w:val="18"/>
              </w:rPr>
            </w:pPr>
            <w:r>
              <w:rPr>
                <w:sz w:val="18"/>
                <w:szCs w:val="18"/>
              </w:rPr>
              <w:t>查看相应文件记录</w:t>
            </w:r>
          </w:p>
        </w:tc>
      </w:tr>
    </w:tbl>
    <w:p w14:paraId="5BDEE4ED">
      <w:pPr>
        <w:pStyle w:val="28"/>
        <w:numPr>
          <w:ilvl w:val="1"/>
          <w:numId w:val="1"/>
        </w:numPr>
        <w:spacing w:before="156" w:after="156"/>
      </w:pPr>
      <w:r>
        <w:rPr>
          <w:rFonts w:hint="eastAsia"/>
        </w:rPr>
        <w:t>其他要求</w:t>
      </w:r>
    </w:p>
    <w:p w14:paraId="459B3238">
      <w:pPr>
        <w:pStyle w:val="14"/>
      </w:pPr>
      <w:r>
        <w:rPr>
          <w:rFonts w:hint="eastAsia"/>
        </w:rPr>
        <w:t>品牌相关方应持续对资源节约、环境保护、生态协同、质量引领属性的二级指标进行细化，细化的指标应遵循先进性、合理性和适用性原则。</w:t>
      </w:r>
    </w:p>
    <w:p w14:paraId="218A8EF2">
      <w:pPr>
        <w:pStyle w:val="25"/>
        <w:framePr/>
      </w:pPr>
      <w:r>
        <w:t>_________________________________</w:t>
      </w:r>
    </w:p>
    <w:p w14:paraId="1FFCD310"/>
    <w:sectPr>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69EC8">
    <w:pPr>
      <w:pStyle w:val="16"/>
    </w:pPr>
    <w:r>
      <w:fldChar w:fldCharType="begin"/>
    </w:r>
    <w:r>
      <w:instrText xml:space="preserve"> PAGE  \* MERGEFORMAT </w:instrText>
    </w:r>
    <w:r>
      <w:fldChar w:fldCharType="separate"/>
    </w:r>
    <w:r>
      <w:t>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321BA">
    <w:pPr>
      <w:pStyle w:val="26"/>
    </w:pPr>
    <w:r>
      <w:rPr>
        <w:rFonts w:hint="eastAsia"/>
      </w:rPr>
      <w:t>T</w:t>
    </w:r>
    <w:r>
      <w:t>/</w:t>
    </w:r>
    <w:r>
      <w:rPr>
        <w:rFonts w:hint="eastAsia"/>
      </w:rPr>
      <w:t>JGE</w:t>
    </w:r>
    <w:r>
      <w:t xml:space="preserve"> XXXXX</w:t>
    </w:r>
    <w:r>
      <w:rPr>
        <w:rFonts w:hint="eastAsia"/>
      </w:rP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rPr>
        <w:rFonts w:ascii="黑体" w:hAnsi="Times New Roman" w:eastAsia="黑体"/>
        <w:b w:val="0"/>
        <w:i w:val="0"/>
        <w:sz w:val="21"/>
      </w:rPr>
    </w:lvl>
    <w:lvl w:ilvl="1" w:tentative="0">
      <w:start w:val="1"/>
      <w:numFmt w:val="decimal"/>
      <w:suff w:val="nothing"/>
      <w:lvlText w:val="%1.%2　"/>
      <w:lvlJc w:val="left"/>
      <w:rPr>
        <w:rFonts w:ascii="黑体" w:hAnsi="Times New Roman" w:eastAsia="黑体"/>
        <w:b w:val="0"/>
        <w:i w:val="0"/>
        <w:caps w:val="0"/>
        <w:strike w:val="0"/>
        <w:dstrike w:val="0"/>
        <w:vanish w:val="0"/>
        <w:color w:val="000000"/>
        <w:spacing w:val="0"/>
        <w:kern w:val="0"/>
        <w:sz w:val="21"/>
        <w:u w:val="none"/>
        <w:vertAlign w:val="baseline"/>
      </w:rPr>
    </w:lvl>
    <w:lvl w:ilvl="2" w:tentative="0">
      <w:start w:val="1"/>
      <w:numFmt w:val="decimal"/>
      <w:pStyle w:val="39"/>
      <w:suff w:val="nothing"/>
      <w:lvlText w:val="%1.%2.%3　"/>
      <w:lvlJc w:val="left"/>
      <w:rPr>
        <w:rFonts w:ascii="黑体" w:hAnsi="Times New Roman" w:eastAsia="黑体"/>
        <w:b w:val="0"/>
        <w:i w:val="0"/>
        <w:sz w:val="21"/>
      </w:rPr>
    </w:lvl>
    <w:lvl w:ilvl="3" w:tentative="0">
      <w:start w:val="1"/>
      <w:numFmt w:val="decimal"/>
      <w:suff w:val="nothing"/>
      <w:lvlText w:val="%1.%2.%3.%4　"/>
      <w:lvlJc w:val="left"/>
      <w:rPr>
        <w:rFonts w:ascii="黑体" w:hAnsi="Times New Roman" w:eastAsia="黑体"/>
        <w:b w:val="0"/>
        <w:i w:val="0"/>
        <w:sz w:val="21"/>
      </w:rPr>
    </w:lvl>
    <w:lvl w:ilvl="4" w:tentative="0">
      <w:start w:val="1"/>
      <w:numFmt w:val="decimal"/>
      <w:suff w:val="nothing"/>
      <w:lvlText w:val="%1.%2.%3.%4.%5　"/>
      <w:lvlJc w:val="left"/>
      <w:rPr>
        <w:rFonts w:ascii="黑体" w:hAnsi="Times New Roman" w:eastAsia="黑体"/>
        <w:b w:val="0"/>
        <w:i w:val="0"/>
        <w:sz w:val="21"/>
      </w:rPr>
    </w:lvl>
    <w:lvl w:ilvl="5" w:tentative="0">
      <w:start w:val="1"/>
      <w:numFmt w:val="decimal"/>
      <w:suff w:val="nothing"/>
      <w:lvlText w:val="%1.%2.%3.%4.%5.%6　"/>
      <w:lvlJc w:val="left"/>
      <w:rPr>
        <w:rFonts w:ascii="黑体" w:hAnsi="Times New Roman" w:eastAsia="黑体"/>
        <w:b w:val="0"/>
        <w:i w:val="0"/>
        <w:sz w:val="21"/>
      </w:rPr>
    </w:lvl>
    <w:lvl w:ilvl="6" w:tentative="0">
      <w:start w:val="1"/>
      <w:numFmt w:val="decimal"/>
      <w:suff w:val="nothing"/>
      <w:lvlText w:val="%1%2.%3.%4.%5.%6.%7　"/>
      <w:lvlJc w:val="left"/>
      <w:rPr>
        <w:rFonts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4NTFiZTY0YmMwZjgzMTJiOGQ4NGNlZDQ2MzQwYWMifQ=="/>
  </w:docVars>
  <w:rsids>
    <w:rsidRoot w:val="00125148"/>
    <w:rsid w:val="00001C21"/>
    <w:rsid w:val="00002453"/>
    <w:rsid w:val="00003DF1"/>
    <w:rsid w:val="00005049"/>
    <w:rsid w:val="0000533F"/>
    <w:rsid w:val="00005CE9"/>
    <w:rsid w:val="00006681"/>
    <w:rsid w:val="0000688C"/>
    <w:rsid w:val="00006B22"/>
    <w:rsid w:val="00007AC1"/>
    <w:rsid w:val="00007E1B"/>
    <w:rsid w:val="0001040E"/>
    <w:rsid w:val="000108BC"/>
    <w:rsid w:val="0001143C"/>
    <w:rsid w:val="000123F2"/>
    <w:rsid w:val="000130B0"/>
    <w:rsid w:val="000146BE"/>
    <w:rsid w:val="00014857"/>
    <w:rsid w:val="0001490B"/>
    <w:rsid w:val="00015BF3"/>
    <w:rsid w:val="0001603C"/>
    <w:rsid w:val="00016856"/>
    <w:rsid w:val="00016A5A"/>
    <w:rsid w:val="0002023F"/>
    <w:rsid w:val="00020DA4"/>
    <w:rsid w:val="00021198"/>
    <w:rsid w:val="00021237"/>
    <w:rsid w:val="00021953"/>
    <w:rsid w:val="00021D93"/>
    <w:rsid w:val="00022C70"/>
    <w:rsid w:val="00022DA9"/>
    <w:rsid w:val="000231D0"/>
    <w:rsid w:val="000234C3"/>
    <w:rsid w:val="00024117"/>
    <w:rsid w:val="000248CE"/>
    <w:rsid w:val="00024C74"/>
    <w:rsid w:val="00024DAA"/>
    <w:rsid w:val="00025E5E"/>
    <w:rsid w:val="00025E7F"/>
    <w:rsid w:val="00027FD8"/>
    <w:rsid w:val="00027FF7"/>
    <w:rsid w:val="00032E99"/>
    <w:rsid w:val="00033069"/>
    <w:rsid w:val="000365A6"/>
    <w:rsid w:val="0003791B"/>
    <w:rsid w:val="000401B0"/>
    <w:rsid w:val="000404FB"/>
    <w:rsid w:val="00041321"/>
    <w:rsid w:val="00041A4D"/>
    <w:rsid w:val="00041FAD"/>
    <w:rsid w:val="00042B33"/>
    <w:rsid w:val="000430AF"/>
    <w:rsid w:val="00043310"/>
    <w:rsid w:val="0004447C"/>
    <w:rsid w:val="0004501B"/>
    <w:rsid w:val="00045097"/>
    <w:rsid w:val="000455EF"/>
    <w:rsid w:val="00045990"/>
    <w:rsid w:val="000471C1"/>
    <w:rsid w:val="00047803"/>
    <w:rsid w:val="000479E0"/>
    <w:rsid w:val="00050D18"/>
    <w:rsid w:val="00051A2C"/>
    <w:rsid w:val="00052B33"/>
    <w:rsid w:val="00053188"/>
    <w:rsid w:val="0005468C"/>
    <w:rsid w:val="00054863"/>
    <w:rsid w:val="00055D18"/>
    <w:rsid w:val="000564C2"/>
    <w:rsid w:val="0005669F"/>
    <w:rsid w:val="000578F1"/>
    <w:rsid w:val="00057EDE"/>
    <w:rsid w:val="00057F02"/>
    <w:rsid w:val="0006014E"/>
    <w:rsid w:val="000619E5"/>
    <w:rsid w:val="00062A2C"/>
    <w:rsid w:val="00062DEA"/>
    <w:rsid w:val="0006350D"/>
    <w:rsid w:val="00063C56"/>
    <w:rsid w:val="00063D2B"/>
    <w:rsid w:val="000651F1"/>
    <w:rsid w:val="0006574C"/>
    <w:rsid w:val="00065F6A"/>
    <w:rsid w:val="00066ED1"/>
    <w:rsid w:val="0006701A"/>
    <w:rsid w:val="00067160"/>
    <w:rsid w:val="000705AB"/>
    <w:rsid w:val="000712EF"/>
    <w:rsid w:val="00071710"/>
    <w:rsid w:val="000719A0"/>
    <w:rsid w:val="00072237"/>
    <w:rsid w:val="00073C2D"/>
    <w:rsid w:val="00074635"/>
    <w:rsid w:val="00074A96"/>
    <w:rsid w:val="00074DBC"/>
    <w:rsid w:val="00074F1D"/>
    <w:rsid w:val="00075D06"/>
    <w:rsid w:val="00075FD5"/>
    <w:rsid w:val="00076E14"/>
    <w:rsid w:val="000770F9"/>
    <w:rsid w:val="00077723"/>
    <w:rsid w:val="00077E47"/>
    <w:rsid w:val="000807B5"/>
    <w:rsid w:val="00080B16"/>
    <w:rsid w:val="00081D86"/>
    <w:rsid w:val="000823E7"/>
    <w:rsid w:val="0008270A"/>
    <w:rsid w:val="00084160"/>
    <w:rsid w:val="000849B6"/>
    <w:rsid w:val="00085091"/>
    <w:rsid w:val="000858F7"/>
    <w:rsid w:val="00086F41"/>
    <w:rsid w:val="0008795D"/>
    <w:rsid w:val="00087F50"/>
    <w:rsid w:val="000900AE"/>
    <w:rsid w:val="00090973"/>
    <w:rsid w:val="0009210A"/>
    <w:rsid w:val="00092E67"/>
    <w:rsid w:val="00094D53"/>
    <w:rsid w:val="000953E5"/>
    <w:rsid w:val="00095585"/>
    <w:rsid w:val="000957C2"/>
    <w:rsid w:val="00095D65"/>
    <w:rsid w:val="000960B6"/>
    <w:rsid w:val="000960F0"/>
    <w:rsid w:val="00096362"/>
    <w:rsid w:val="00096CBF"/>
    <w:rsid w:val="000971C1"/>
    <w:rsid w:val="00097339"/>
    <w:rsid w:val="000A001F"/>
    <w:rsid w:val="000A0242"/>
    <w:rsid w:val="000A1D66"/>
    <w:rsid w:val="000A56E0"/>
    <w:rsid w:val="000A66BB"/>
    <w:rsid w:val="000A6CEF"/>
    <w:rsid w:val="000B02E8"/>
    <w:rsid w:val="000B04FA"/>
    <w:rsid w:val="000B087E"/>
    <w:rsid w:val="000B09DB"/>
    <w:rsid w:val="000B11C6"/>
    <w:rsid w:val="000B12DA"/>
    <w:rsid w:val="000B331A"/>
    <w:rsid w:val="000B4294"/>
    <w:rsid w:val="000B4910"/>
    <w:rsid w:val="000B4D5B"/>
    <w:rsid w:val="000B4EF4"/>
    <w:rsid w:val="000B5BF7"/>
    <w:rsid w:val="000B681C"/>
    <w:rsid w:val="000B6837"/>
    <w:rsid w:val="000B7581"/>
    <w:rsid w:val="000B762C"/>
    <w:rsid w:val="000B7757"/>
    <w:rsid w:val="000B78CA"/>
    <w:rsid w:val="000B7F49"/>
    <w:rsid w:val="000C097A"/>
    <w:rsid w:val="000C32F9"/>
    <w:rsid w:val="000C39FF"/>
    <w:rsid w:val="000C42CA"/>
    <w:rsid w:val="000C5103"/>
    <w:rsid w:val="000C513D"/>
    <w:rsid w:val="000C5D53"/>
    <w:rsid w:val="000C6C57"/>
    <w:rsid w:val="000C6F1C"/>
    <w:rsid w:val="000C775B"/>
    <w:rsid w:val="000C7D64"/>
    <w:rsid w:val="000D036A"/>
    <w:rsid w:val="000D0FCD"/>
    <w:rsid w:val="000D2DCF"/>
    <w:rsid w:val="000D3A15"/>
    <w:rsid w:val="000D4709"/>
    <w:rsid w:val="000D5CDA"/>
    <w:rsid w:val="000D7A51"/>
    <w:rsid w:val="000E005B"/>
    <w:rsid w:val="000E0710"/>
    <w:rsid w:val="000E2444"/>
    <w:rsid w:val="000E270E"/>
    <w:rsid w:val="000E2826"/>
    <w:rsid w:val="000E34C8"/>
    <w:rsid w:val="000E4A0A"/>
    <w:rsid w:val="000E503A"/>
    <w:rsid w:val="000E5754"/>
    <w:rsid w:val="000E5AF3"/>
    <w:rsid w:val="000E5BC0"/>
    <w:rsid w:val="000F15D9"/>
    <w:rsid w:val="000F2478"/>
    <w:rsid w:val="000F57A1"/>
    <w:rsid w:val="001012F5"/>
    <w:rsid w:val="00101336"/>
    <w:rsid w:val="00101A0F"/>
    <w:rsid w:val="001022DD"/>
    <w:rsid w:val="0010294B"/>
    <w:rsid w:val="00103146"/>
    <w:rsid w:val="00104A7D"/>
    <w:rsid w:val="0011048A"/>
    <w:rsid w:val="001107AA"/>
    <w:rsid w:val="00111326"/>
    <w:rsid w:val="00111A24"/>
    <w:rsid w:val="00112326"/>
    <w:rsid w:val="001135F0"/>
    <w:rsid w:val="00113E4E"/>
    <w:rsid w:val="00114B65"/>
    <w:rsid w:val="00114F11"/>
    <w:rsid w:val="00115F1F"/>
    <w:rsid w:val="001165CB"/>
    <w:rsid w:val="001166F2"/>
    <w:rsid w:val="0011701E"/>
    <w:rsid w:val="0011777D"/>
    <w:rsid w:val="0012035F"/>
    <w:rsid w:val="00122918"/>
    <w:rsid w:val="00122CF9"/>
    <w:rsid w:val="00122F85"/>
    <w:rsid w:val="00123B92"/>
    <w:rsid w:val="00123C57"/>
    <w:rsid w:val="00125148"/>
    <w:rsid w:val="001254AA"/>
    <w:rsid w:val="00125B91"/>
    <w:rsid w:val="001309D8"/>
    <w:rsid w:val="00130AEA"/>
    <w:rsid w:val="00130F86"/>
    <w:rsid w:val="00131DD4"/>
    <w:rsid w:val="00132C81"/>
    <w:rsid w:val="00133348"/>
    <w:rsid w:val="0013362A"/>
    <w:rsid w:val="00134B7C"/>
    <w:rsid w:val="001357CD"/>
    <w:rsid w:val="0013687A"/>
    <w:rsid w:val="001400EA"/>
    <w:rsid w:val="001403A5"/>
    <w:rsid w:val="0014059F"/>
    <w:rsid w:val="00140FE2"/>
    <w:rsid w:val="00142B54"/>
    <w:rsid w:val="00143A2D"/>
    <w:rsid w:val="001441D0"/>
    <w:rsid w:val="00145A3F"/>
    <w:rsid w:val="001471A1"/>
    <w:rsid w:val="0014771F"/>
    <w:rsid w:val="00147DF9"/>
    <w:rsid w:val="00150769"/>
    <w:rsid w:val="001517C2"/>
    <w:rsid w:val="00152671"/>
    <w:rsid w:val="001538E5"/>
    <w:rsid w:val="001539D4"/>
    <w:rsid w:val="00153D66"/>
    <w:rsid w:val="00153FCC"/>
    <w:rsid w:val="001542E0"/>
    <w:rsid w:val="00154C64"/>
    <w:rsid w:val="00155901"/>
    <w:rsid w:val="001565F6"/>
    <w:rsid w:val="00156ABF"/>
    <w:rsid w:val="001571DF"/>
    <w:rsid w:val="00157512"/>
    <w:rsid w:val="00157F7F"/>
    <w:rsid w:val="0016009F"/>
    <w:rsid w:val="0016159D"/>
    <w:rsid w:val="001617C3"/>
    <w:rsid w:val="00162FEF"/>
    <w:rsid w:val="00163703"/>
    <w:rsid w:val="00165317"/>
    <w:rsid w:val="00165D56"/>
    <w:rsid w:val="0016600A"/>
    <w:rsid w:val="001666D9"/>
    <w:rsid w:val="001707F9"/>
    <w:rsid w:val="00170F15"/>
    <w:rsid w:val="00170F9D"/>
    <w:rsid w:val="00170FF2"/>
    <w:rsid w:val="00171663"/>
    <w:rsid w:val="00171890"/>
    <w:rsid w:val="00172166"/>
    <w:rsid w:val="00173E30"/>
    <w:rsid w:val="00174A03"/>
    <w:rsid w:val="00174F5E"/>
    <w:rsid w:val="00175B29"/>
    <w:rsid w:val="00176974"/>
    <w:rsid w:val="00177200"/>
    <w:rsid w:val="00177C9A"/>
    <w:rsid w:val="0018058C"/>
    <w:rsid w:val="0018249D"/>
    <w:rsid w:val="00182B57"/>
    <w:rsid w:val="0018330C"/>
    <w:rsid w:val="00184EA3"/>
    <w:rsid w:val="00185720"/>
    <w:rsid w:val="00185725"/>
    <w:rsid w:val="00185C90"/>
    <w:rsid w:val="00186923"/>
    <w:rsid w:val="00187685"/>
    <w:rsid w:val="00190F99"/>
    <w:rsid w:val="00191AA0"/>
    <w:rsid w:val="00191FF7"/>
    <w:rsid w:val="00194233"/>
    <w:rsid w:val="001943EB"/>
    <w:rsid w:val="00194840"/>
    <w:rsid w:val="00196DE5"/>
    <w:rsid w:val="00196E00"/>
    <w:rsid w:val="00197255"/>
    <w:rsid w:val="0019731C"/>
    <w:rsid w:val="001976A7"/>
    <w:rsid w:val="00197E78"/>
    <w:rsid w:val="001A2033"/>
    <w:rsid w:val="001A2779"/>
    <w:rsid w:val="001A3179"/>
    <w:rsid w:val="001A3369"/>
    <w:rsid w:val="001A3DBD"/>
    <w:rsid w:val="001A4056"/>
    <w:rsid w:val="001A5BD8"/>
    <w:rsid w:val="001A5C26"/>
    <w:rsid w:val="001A5FDB"/>
    <w:rsid w:val="001A6B50"/>
    <w:rsid w:val="001A737A"/>
    <w:rsid w:val="001B1124"/>
    <w:rsid w:val="001B125C"/>
    <w:rsid w:val="001B1FF2"/>
    <w:rsid w:val="001B2015"/>
    <w:rsid w:val="001B25AC"/>
    <w:rsid w:val="001B39EC"/>
    <w:rsid w:val="001B3C73"/>
    <w:rsid w:val="001B5346"/>
    <w:rsid w:val="001B5E96"/>
    <w:rsid w:val="001B6F24"/>
    <w:rsid w:val="001B7E78"/>
    <w:rsid w:val="001B7FBF"/>
    <w:rsid w:val="001C10A5"/>
    <w:rsid w:val="001C1CD9"/>
    <w:rsid w:val="001C2220"/>
    <w:rsid w:val="001C2726"/>
    <w:rsid w:val="001C29D6"/>
    <w:rsid w:val="001C2C6E"/>
    <w:rsid w:val="001C2DCE"/>
    <w:rsid w:val="001C341D"/>
    <w:rsid w:val="001C382C"/>
    <w:rsid w:val="001C55D5"/>
    <w:rsid w:val="001C7018"/>
    <w:rsid w:val="001C716C"/>
    <w:rsid w:val="001D32FA"/>
    <w:rsid w:val="001D345D"/>
    <w:rsid w:val="001D3DB4"/>
    <w:rsid w:val="001D48DB"/>
    <w:rsid w:val="001D544C"/>
    <w:rsid w:val="001D57BD"/>
    <w:rsid w:val="001D6517"/>
    <w:rsid w:val="001D71D2"/>
    <w:rsid w:val="001E0469"/>
    <w:rsid w:val="001E1A5E"/>
    <w:rsid w:val="001E1E14"/>
    <w:rsid w:val="001E28F6"/>
    <w:rsid w:val="001E291D"/>
    <w:rsid w:val="001E3B2E"/>
    <w:rsid w:val="001E4CEE"/>
    <w:rsid w:val="001F2DB5"/>
    <w:rsid w:val="001F35F2"/>
    <w:rsid w:val="001F3822"/>
    <w:rsid w:val="001F41BE"/>
    <w:rsid w:val="001F488D"/>
    <w:rsid w:val="001F4979"/>
    <w:rsid w:val="001F4D30"/>
    <w:rsid w:val="001F53F5"/>
    <w:rsid w:val="001F58CE"/>
    <w:rsid w:val="001F5FE2"/>
    <w:rsid w:val="001F604F"/>
    <w:rsid w:val="001F60F0"/>
    <w:rsid w:val="001F6201"/>
    <w:rsid w:val="001F65E8"/>
    <w:rsid w:val="001F671C"/>
    <w:rsid w:val="001F6B73"/>
    <w:rsid w:val="00200054"/>
    <w:rsid w:val="00201EE4"/>
    <w:rsid w:val="0020230D"/>
    <w:rsid w:val="00202505"/>
    <w:rsid w:val="00202BE8"/>
    <w:rsid w:val="002036F4"/>
    <w:rsid w:val="00203EF3"/>
    <w:rsid w:val="00204017"/>
    <w:rsid w:val="002043EB"/>
    <w:rsid w:val="00206DFC"/>
    <w:rsid w:val="00207692"/>
    <w:rsid w:val="00210EA6"/>
    <w:rsid w:val="00213530"/>
    <w:rsid w:val="00213D4B"/>
    <w:rsid w:val="00215755"/>
    <w:rsid w:val="00215E24"/>
    <w:rsid w:val="0021612F"/>
    <w:rsid w:val="00216945"/>
    <w:rsid w:val="00216BA3"/>
    <w:rsid w:val="002229B6"/>
    <w:rsid w:val="00223370"/>
    <w:rsid w:val="00224044"/>
    <w:rsid w:val="00224280"/>
    <w:rsid w:val="002242EC"/>
    <w:rsid w:val="00225B3B"/>
    <w:rsid w:val="00225CE0"/>
    <w:rsid w:val="002278FC"/>
    <w:rsid w:val="00227B7B"/>
    <w:rsid w:val="00230141"/>
    <w:rsid w:val="00230D1C"/>
    <w:rsid w:val="002311CD"/>
    <w:rsid w:val="00231EB9"/>
    <w:rsid w:val="00232215"/>
    <w:rsid w:val="00233E3E"/>
    <w:rsid w:val="00234954"/>
    <w:rsid w:val="00234D6F"/>
    <w:rsid w:val="00234DF3"/>
    <w:rsid w:val="00236A7B"/>
    <w:rsid w:val="00237566"/>
    <w:rsid w:val="00237F4D"/>
    <w:rsid w:val="00241491"/>
    <w:rsid w:val="002427CB"/>
    <w:rsid w:val="00242EB5"/>
    <w:rsid w:val="002430E0"/>
    <w:rsid w:val="002435A2"/>
    <w:rsid w:val="00243E07"/>
    <w:rsid w:val="00245044"/>
    <w:rsid w:val="00245A0C"/>
    <w:rsid w:val="002462F0"/>
    <w:rsid w:val="002467A7"/>
    <w:rsid w:val="00246BF2"/>
    <w:rsid w:val="0024746E"/>
    <w:rsid w:val="0024751E"/>
    <w:rsid w:val="00247A06"/>
    <w:rsid w:val="00247CC3"/>
    <w:rsid w:val="0025023A"/>
    <w:rsid w:val="00250CD2"/>
    <w:rsid w:val="00251850"/>
    <w:rsid w:val="0025335E"/>
    <w:rsid w:val="0025399D"/>
    <w:rsid w:val="00255A12"/>
    <w:rsid w:val="00255E3F"/>
    <w:rsid w:val="00256080"/>
    <w:rsid w:val="00256E7C"/>
    <w:rsid w:val="00257111"/>
    <w:rsid w:val="00257AAC"/>
    <w:rsid w:val="002600BB"/>
    <w:rsid w:val="0026028F"/>
    <w:rsid w:val="00260F1E"/>
    <w:rsid w:val="002618DD"/>
    <w:rsid w:val="00262034"/>
    <w:rsid w:val="0026353D"/>
    <w:rsid w:val="00263FAB"/>
    <w:rsid w:val="00263FFD"/>
    <w:rsid w:val="0026428B"/>
    <w:rsid w:val="00264F18"/>
    <w:rsid w:val="002651E6"/>
    <w:rsid w:val="0026557F"/>
    <w:rsid w:val="00265623"/>
    <w:rsid w:val="002666EF"/>
    <w:rsid w:val="002667C3"/>
    <w:rsid w:val="002678C2"/>
    <w:rsid w:val="002701BC"/>
    <w:rsid w:val="002704AB"/>
    <w:rsid w:val="00270B13"/>
    <w:rsid w:val="00272B4C"/>
    <w:rsid w:val="002731B1"/>
    <w:rsid w:val="00275619"/>
    <w:rsid w:val="00275FEB"/>
    <w:rsid w:val="002763EC"/>
    <w:rsid w:val="00276606"/>
    <w:rsid w:val="00277024"/>
    <w:rsid w:val="002770EC"/>
    <w:rsid w:val="002771EF"/>
    <w:rsid w:val="00277F50"/>
    <w:rsid w:val="002808BF"/>
    <w:rsid w:val="00281439"/>
    <w:rsid w:val="00282F23"/>
    <w:rsid w:val="002859C1"/>
    <w:rsid w:val="0028742C"/>
    <w:rsid w:val="0029161A"/>
    <w:rsid w:val="00292B99"/>
    <w:rsid w:val="00292C9C"/>
    <w:rsid w:val="00292EAC"/>
    <w:rsid w:val="00294248"/>
    <w:rsid w:val="002943E5"/>
    <w:rsid w:val="00295189"/>
    <w:rsid w:val="00295896"/>
    <w:rsid w:val="0029598F"/>
    <w:rsid w:val="00296A63"/>
    <w:rsid w:val="00297379"/>
    <w:rsid w:val="00297B2F"/>
    <w:rsid w:val="002A00CE"/>
    <w:rsid w:val="002A013F"/>
    <w:rsid w:val="002A0FFC"/>
    <w:rsid w:val="002A16A6"/>
    <w:rsid w:val="002A20F2"/>
    <w:rsid w:val="002A2D65"/>
    <w:rsid w:val="002A3611"/>
    <w:rsid w:val="002A6323"/>
    <w:rsid w:val="002A6917"/>
    <w:rsid w:val="002A6937"/>
    <w:rsid w:val="002B07B1"/>
    <w:rsid w:val="002B0EBC"/>
    <w:rsid w:val="002B32AE"/>
    <w:rsid w:val="002B3E89"/>
    <w:rsid w:val="002B48BC"/>
    <w:rsid w:val="002B4978"/>
    <w:rsid w:val="002B552E"/>
    <w:rsid w:val="002B62B2"/>
    <w:rsid w:val="002B6334"/>
    <w:rsid w:val="002B7377"/>
    <w:rsid w:val="002B75E6"/>
    <w:rsid w:val="002B760F"/>
    <w:rsid w:val="002C0F36"/>
    <w:rsid w:val="002C27C3"/>
    <w:rsid w:val="002C4CF8"/>
    <w:rsid w:val="002C502B"/>
    <w:rsid w:val="002C6542"/>
    <w:rsid w:val="002C6B53"/>
    <w:rsid w:val="002C7C52"/>
    <w:rsid w:val="002D0C54"/>
    <w:rsid w:val="002D1282"/>
    <w:rsid w:val="002D2904"/>
    <w:rsid w:val="002D31DC"/>
    <w:rsid w:val="002D366A"/>
    <w:rsid w:val="002D3D04"/>
    <w:rsid w:val="002D65E6"/>
    <w:rsid w:val="002D687F"/>
    <w:rsid w:val="002D6E5A"/>
    <w:rsid w:val="002D7575"/>
    <w:rsid w:val="002D7A0E"/>
    <w:rsid w:val="002E01E6"/>
    <w:rsid w:val="002E1473"/>
    <w:rsid w:val="002E1B7D"/>
    <w:rsid w:val="002E1C56"/>
    <w:rsid w:val="002E1E7D"/>
    <w:rsid w:val="002E20ED"/>
    <w:rsid w:val="002E28AD"/>
    <w:rsid w:val="002E3CB8"/>
    <w:rsid w:val="002E4701"/>
    <w:rsid w:val="002E61F3"/>
    <w:rsid w:val="002E71D3"/>
    <w:rsid w:val="002E7BA0"/>
    <w:rsid w:val="002F0FF8"/>
    <w:rsid w:val="002F13B7"/>
    <w:rsid w:val="002F1492"/>
    <w:rsid w:val="002F2525"/>
    <w:rsid w:val="002F27BD"/>
    <w:rsid w:val="002F2AC1"/>
    <w:rsid w:val="002F578E"/>
    <w:rsid w:val="002F6559"/>
    <w:rsid w:val="002F67C6"/>
    <w:rsid w:val="00300A90"/>
    <w:rsid w:val="003015C7"/>
    <w:rsid w:val="00302C5E"/>
    <w:rsid w:val="00303B1B"/>
    <w:rsid w:val="00303BE8"/>
    <w:rsid w:val="0030751D"/>
    <w:rsid w:val="003076C2"/>
    <w:rsid w:val="00307D6F"/>
    <w:rsid w:val="003102CC"/>
    <w:rsid w:val="0031277C"/>
    <w:rsid w:val="003128B3"/>
    <w:rsid w:val="00312CA2"/>
    <w:rsid w:val="003138B5"/>
    <w:rsid w:val="00313AAE"/>
    <w:rsid w:val="00314B2E"/>
    <w:rsid w:val="0031529E"/>
    <w:rsid w:val="0031541E"/>
    <w:rsid w:val="0031551F"/>
    <w:rsid w:val="003157FC"/>
    <w:rsid w:val="0031682E"/>
    <w:rsid w:val="00316FCF"/>
    <w:rsid w:val="00317CFA"/>
    <w:rsid w:val="003217C2"/>
    <w:rsid w:val="0032195A"/>
    <w:rsid w:val="00321FCB"/>
    <w:rsid w:val="00324505"/>
    <w:rsid w:val="00324AED"/>
    <w:rsid w:val="00325527"/>
    <w:rsid w:val="00325BFE"/>
    <w:rsid w:val="00325D12"/>
    <w:rsid w:val="0032625E"/>
    <w:rsid w:val="003266CF"/>
    <w:rsid w:val="00327FEA"/>
    <w:rsid w:val="003303C0"/>
    <w:rsid w:val="0033047A"/>
    <w:rsid w:val="00330FA7"/>
    <w:rsid w:val="00331E19"/>
    <w:rsid w:val="003328E0"/>
    <w:rsid w:val="003329A1"/>
    <w:rsid w:val="00333E77"/>
    <w:rsid w:val="0033476A"/>
    <w:rsid w:val="0033560F"/>
    <w:rsid w:val="003361C4"/>
    <w:rsid w:val="00336447"/>
    <w:rsid w:val="003374B8"/>
    <w:rsid w:val="00340863"/>
    <w:rsid w:val="00340A5B"/>
    <w:rsid w:val="00340ACA"/>
    <w:rsid w:val="00340E9F"/>
    <w:rsid w:val="0034114E"/>
    <w:rsid w:val="00342354"/>
    <w:rsid w:val="003425DE"/>
    <w:rsid w:val="0034305A"/>
    <w:rsid w:val="003436F0"/>
    <w:rsid w:val="003444DB"/>
    <w:rsid w:val="003444FC"/>
    <w:rsid w:val="00344570"/>
    <w:rsid w:val="00345AEE"/>
    <w:rsid w:val="003463D1"/>
    <w:rsid w:val="0034689C"/>
    <w:rsid w:val="00346C86"/>
    <w:rsid w:val="00347946"/>
    <w:rsid w:val="00350E81"/>
    <w:rsid w:val="00354024"/>
    <w:rsid w:val="0035601F"/>
    <w:rsid w:val="003571A4"/>
    <w:rsid w:val="003600F5"/>
    <w:rsid w:val="003603EB"/>
    <w:rsid w:val="003608EE"/>
    <w:rsid w:val="00361169"/>
    <w:rsid w:val="00361F4B"/>
    <w:rsid w:val="00363FEA"/>
    <w:rsid w:val="0036476D"/>
    <w:rsid w:val="00364B94"/>
    <w:rsid w:val="00365D99"/>
    <w:rsid w:val="00366442"/>
    <w:rsid w:val="0036668B"/>
    <w:rsid w:val="00367F2C"/>
    <w:rsid w:val="0037004D"/>
    <w:rsid w:val="00370630"/>
    <w:rsid w:val="003709AF"/>
    <w:rsid w:val="00373509"/>
    <w:rsid w:val="003735CE"/>
    <w:rsid w:val="003747B4"/>
    <w:rsid w:val="003758EF"/>
    <w:rsid w:val="0037611E"/>
    <w:rsid w:val="0037654E"/>
    <w:rsid w:val="00377C78"/>
    <w:rsid w:val="00377FD8"/>
    <w:rsid w:val="00382224"/>
    <w:rsid w:val="00382A1A"/>
    <w:rsid w:val="00384350"/>
    <w:rsid w:val="00384CC6"/>
    <w:rsid w:val="003858D8"/>
    <w:rsid w:val="00386410"/>
    <w:rsid w:val="00386D99"/>
    <w:rsid w:val="00386EDA"/>
    <w:rsid w:val="00387CFA"/>
    <w:rsid w:val="00390094"/>
    <w:rsid w:val="003905FB"/>
    <w:rsid w:val="003919F2"/>
    <w:rsid w:val="00391EFF"/>
    <w:rsid w:val="00393254"/>
    <w:rsid w:val="0039381E"/>
    <w:rsid w:val="00393C36"/>
    <w:rsid w:val="00393F87"/>
    <w:rsid w:val="00394540"/>
    <w:rsid w:val="00394A46"/>
    <w:rsid w:val="003952AB"/>
    <w:rsid w:val="003957A6"/>
    <w:rsid w:val="00395959"/>
    <w:rsid w:val="00396006"/>
    <w:rsid w:val="00397D11"/>
    <w:rsid w:val="003A0A33"/>
    <w:rsid w:val="003A1872"/>
    <w:rsid w:val="003A33EA"/>
    <w:rsid w:val="003A49C2"/>
    <w:rsid w:val="003A5A3F"/>
    <w:rsid w:val="003A5BAA"/>
    <w:rsid w:val="003A5E5F"/>
    <w:rsid w:val="003A6D53"/>
    <w:rsid w:val="003A6ED2"/>
    <w:rsid w:val="003A7A76"/>
    <w:rsid w:val="003B02C7"/>
    <w:rsid w:val="003B1145"/>
    <w:rsid w:val="003B1BE2"/>
    <w:rsid w:val="003B2C29"/>
    <w:rsid w:val="003B300B"/>
    <w:rsid w:val="003B3745"/>
    <w:rsid w:val="003B42D1"/>
    <w:rsid w:val="003B45CA"/>
    <w:rsid w:val="003B4751"/>
    <w:rsid w:val="003B54CB"/>
    <w:rsid w:val="003C083D"/>
    <w:rsid w:val="003C0E58"/>
    <w:rsid w:val="003C116E"/>
    <w:rsid w:val="003C1857"/>
    <w:rsid w:val="003C1C01"/>
    <w:rsid w:val="003C1E8D"/>
    <w:rsid w:val="003C3003"/>
    <w:rsid w:val="003C3407"/>
    <w:rsid w:val="003C416B"/>
    <w:rsid w:val="003C4DF3"/>
    <w:rsid w:val="003C5E0C"/>
    <w:rsid w:val="003C6225"/>
    <w:rsid w:val="003C6C98"/>
    <w:rsid w:val="003C6DCE"/>
    <w:rsid w:val="003C72D8"/>
    <w:rsid w:val="003C7A06"/>
    <w:rsid w:val="003D07E0"/>
    <w:rsid w:val="003D091F"/>
    <w:rsid w:val="003D0F43"/>
    <w:rsid w:val="003D2989"/>
    <w:rsid w:val="003D42A5"/>
    <w:rsid w:val="003D4B80"/>
    <w:rsid w:val="003D4D5B"/>
    <w:rsid w:val="003D6067"/>
    <w:rsid w:val="003D7366"/>
    <w:rsid w:val="003D7569"/>
    <w:rsid w:val="003E03CE"/>
    <w:rsid w:val="003E21EE"/>
    <w:rsid w:val="003E245C"/>
    <w:rsid w:val="003E3EAB"/>
    <w:rsid w:val="003E3FC4"/>
    <w:rsid w:val="003E441F"/>
    <w:rsid w:val="003E456F"/>
    <w:rsid w:val="003E5395"/>
    <w:rsid w:val="003E54C9"/>
    <w:rsid w:val="003E7805"/>
    <w:rsid w:val="003F0490"/>
    <w:rsid w:val="003F06A6"/>
    <w:rsid w:val="003F1B12"/>
    <w:rsid w:val="003F2FF4"/>
    <w:rsid w:val="003F3485"/>
    <w:rsid w:val="003F3757"/>
    <w:rsid w:val="003F534D"/>
    <w:rsid w:val="003F6435"/>
    <w:rsid w:val="003F6818"/>
    <w:rsid w:val="003F7845"/>
    <w:rsid w:val="004003D0"/>
    <w:rsid w:val="00401FFA"/>
    <w:rsid w:val="004025DA"/>
    <w:rsid w:val="00402A3C"/>
    <w:rsid w:val="00405BC0"/>
    <w:rsid w:val="00405DA5"/>
    <w:rsid w:val="00406E36"/>
    <w:rsid w:val="00406EE2"/>
    <w:rsid w:val="0040709D"/>
    <w:rsid w:val="00407AFD"/>
    <w:rsid w:val="00407D52"/>
    <w:rsid w:val="00407F08"/>
    <w:rsid w:val="0041010B"/>
    <w:rsid w:val="004118C6"/>
    <w:rsid w:val="0041255A"/>
    <w:rsid w:val="0041284F"/>
    <w:rsid w:val="00413006"/>
    <w:rsid w:val="0041308E"/>
    <w:rsid w:val="00413367"/>
    <w:rsid w:val="00413792"/>
    <w:rsid w:val="0041405C"/>
    <w:rsid w:val="0041432C"/>
    <w:rsid w:val="0041438F"/>
    <w:rsid w:val="00415DD1"/>
    <w:rsid w:val="00415E88"/>
    <w:rsid w:val="004161CB"/>
    <w:rsid w:val="00416844"/>
    <w:rsid w:val="0041690E"/>
    <w:rsid w:val="00416FA6"/>
    <w:rsid w:val="004201F3"/>
    <w:rsid w:val="00420DEA"/>
    <w:rsid w:val="0042106B"/>
    <w:rsid w:val="00421D6F"/>
    <w:rsid w:val="00423CB4"/>
    <w:rsid w:val="00425FD0"/>
    <w:rsid w:val="00426950"/>
    <w:rsid w:val="0042712E"/>
    <w:rsid w:val="0042756B"/>
    <w:rsid w:val="00427E17"/>
    <w:rsid w:val="004301F4"/>
    <w:rsid w:val="00431715"/>
    <w:rsid w:val="00431D5C"/>
    <w:rsid w:val="00432179"/>
    <w:rsid w:val="00433773"/>
    <w:rsid w:val="00433ECC"/>
    <w:rsid w:val="004341E7"/>
    <w:rsid w:val="004350D1"/>
    <w:rsid w:val="0043781E"/>
    <w:rsid w:val="0044008B"/>
    <w:rsid w:val="00440434"/>
    <w:rsid w:val="004415EA"/>
    <w:rsid w:val="00441787"/>
    <w:rsid w:val="00441881"/>
    <w:rsid w:val="00441912"/>
    <w:rsid w:val="004427B0"/>
    <w:rsid w:val="00443801"/>
    <w:rsid w:val="00446E51"/>
    <w:rsid w:val="004476C2"/>
    <w:rsid w:val="004514C9"/>
    <w:rsid w:val="00451D00"/>
    <w:rsid w:val="0045215D"/>
    <w:rsid w:val="00452461"/>
    <w:rsid w:val="00452F91"/>
    <w:rsid w:val="004549E1"/>
    <w:rsid w:val="00454C3C"/>
    <w:rsid w:val="004557AB"/>
    <w:rsid w:val="00460696"/>
    <w:rsid w:val="004609ED"/>
    <w:rsid w:val="0046176D"/>
    <w:rsid w:val="00461C5B"/>
    <w:rsid w:val="0046247E"/>
    <w:rsid w:val="00463053"/>
    <w:rsid w:val="004645FE"/>
    <w:rsid w:val="00465097"/>
    <w:rsid w:val="00465135"/>
    <w:rsid w:val="0047005A"/>
    <w:rsid w:val="004706BA"/>
    <w:rsid w:val="004713BB"/>
    <w:rsid w:val="00472339"/>
    <w:rsid w:val="004725D5"/>
    <w:rsid w:val="004728FB"/>
    <w:rsid w:val="0047398F"/>
    <w:rsid w:val="004739C7"/>
    <w:rsid w:val="0047403A"/>
    <w:rsid w:val="00475A5F"/>
    <w:rsid w:val="0047601D"/>
    <w:rsid w:val="00480B29"/>
    <w:rsid w:val="00480F7A"/>
    <w:rsid w:val="004814B3"/>
    <w:rsid w:val="004814DF"/>
    <w:rsid w:val="004819D5"/>
    <w:rsid w:val="00483265"/>
    <w:rsid w:val="0048375C"/>
    <w:rsid w:val="00485E85"/>
    <w:rsid w:val="00486381"/>
    <w:rsid w:val="004871F7"/>
    <w:rsid w:val="0048765B"/>
    <w:rsid w:val="00491215"/>
    <w:rsid w:val="004913EC"/>
    <w:rsid w:val="0049487D"/>
    <w:rsid w:val="00495777"/>
    <w:rsid w:val="00495BA2"/>
    <w:rsid w:val="00495E02"/>
    <w:rsid w:val="00495F1D"/>
    <w:rsid w:val="0049679A"/>
    <w:rsid w:val="00497558"/>
    <w:rsid w:val="00497D0B"/>
    <w:rsid w:val="004A0FE4"/>
    <w:rsid w:val="004A0FF4"/>
    <w:rsid w:val="004A2DD6"/>
    <w:rsid w:val="004A3C31"/>
    <w:rsid w:val="004A442F"/>
    <w:rsid w:val="004A797B"/>
    <w:rsid w:val="004B27EA"/>
    <w:rsid w:val="004B349E"/>
    <w:rsid w:val="004B352B"/>
    <w:rsid w:val="004B57EB"/>
    <w:rsid w:val="004B74C0"/>
    <w:rsid w:val="004B7F4E"/>
    <w:rsid w:val="004C0CCD"/>
    <w:rsid w:val="004C12B8"/>
    <w:rsid w:val="004C1311"/>
    <w:rsid w:val="004C14BE"/>
    <w:rsid w:val="004C1C64"/>
    <w:rsid w:val="004C1EC7"/>
    <w:rsid w:val="004C2291"/>
    <w:rsid w:val="004C2581"/>
    <w:rsid w:val="004C291D"/>
    <w:rsid w:val="004C2D51"/>
    <w:rsid w:val="004C2EA4"/>
    <w:rsid w:val="004C3AAA"/>
    <w:rsid w:val="004C4695"/>
    <w:rsid w:val="004C5D66"/>
    <w:rsid w:val="004C5D91"/>
    <w:rsid w:val="004C71C8"/>
    <w:rsid w:val="004C732E"/>
    <w:rsid w:val="004C7A51"/>
    <w:rsid w:val="004D05C2"/>
    <w:rsid w:val="004D06BC"/>
    <w:rsid w:val="004D0938"/>
    <w:rsid w:val="004D0A2D"/>
    <w:rsid w:val="004D1EAC"/>
    <w:rsid w:val="004D2111"/>
    <w:rsid w:val="004D24FE"/>
    <w:rsid w:val="004D4702"/>
    <w:rsid w:val="004D56CF"/>
    <w:rsid w:val="004D5860"/>
    <w:rsid w:val="004D7FD4"/>
    <w:rsid w:val="004E017C"/>
    <w:rsid w:val="004E0FE4"/>
    <w:rsid w:val="004E100C"/>
    <w:rsid w:val="004E1892"/>
    <w:rsid w:val="004E1EB0"/>
    <w:rsid w:val="004E2933"/>
    <w:rsid w:val="004E59C3"/>
    <w:rsid w:val="004E62AF"/>
    <w:rsid w:val="004E7BF6"/>
    <w:rsid w:val="004F0318"/>
    <w:rsid w:val="004F15E4"/>
    <w:rsid w:val="004F1F72"/>
    <w:rsid w:val="004F20E1"/>
    <w:rsid w:val="004F34CB"/>
    <w:rsid w:val="004F52A1"/>
    <w:rsid w:val="004F54C5"/>
    <w:rsid w:val="004F588B"/>
    <w:rsid w:val="004F5E8B"/>
    <w:rsid w:val="004F678F"/>
    <w:rsid w:val="004F74D3"/>
    <w:rsid w:val="004F752E"/>
    <w:rsid w:val="004F7E28"/>
    <w:rsid w:val="005018DB"/>
    <w:rsid w:val="005024EB"/>
    <w:rsid w:val="00503314"/>
    <w:rsid w:val="00504D1D"/>
    <w:rsid w:val="00505958"/>
    <w:rsid w:val="00505B5A"/>
    <w:rsid w:val="00507272"/>
    <w:rsid w:val="005074F1"/>
    <w:rsid w:val="00507AC7"/>
    <w:rsid w:val="005104C1"/>
    <w:rsid w:val="00510994"/>
    <w:rsid w:val="00511439"/>
    <w:rsid w:val="0051377E"/>
    <w:rsid w:val="00513C69"/>
    <w:rsid w:val="00515B55"/>
    <w:rsid w:val="00515B89"/>
    <w:rsid w:val="00515CAF"/>
    <w:rsid w:val="00517371"/>
    <w:rsid w:val="0051778B"/>
    <w:rsid w:val="00522246"/>
    <w:rsid w:val="00522FA4"/>
    <w:rsid w:val="00523619"/>
    <w:rsid w:val="00523837"/>
    <w:rsid w:val="005242B7"/>
    <w:rsid w:val="00524951"/>
    <w:rsid w:val="0052498E"/>
    <w:rsid w:val="00524AD0"/>
    <w:rsid w:val="00524F13"/>
    <w:rsid w:val="005269A1"/>
    <w:rsid w:val="00526D1B"/>
    <w:rsid w:val="00527B6B"/>
    <w:rsid w:val="0053236A"/>
    <w:rsid w:val="00532677"/>
    <w:rsid w:val="0053326C"/>
    <w:rsid w:val="0053339D"/>
    <w:rsid w:val="00533A2D"/>
    <w:rsid w:val="00533CFD"/>
    <w:rsid w:val="0053422D"/>
    <w:rsid w:val="00536F57"/>
    <w:rsid w:val="00541B0A"/>
    <w:rsid w:val="00541DD9"/>
    <w:rsid w:val="00542203"/>
    <w:rsid w:val="00542977"/>
    <w:rsid w:val="005429EB"/>
    <w:rsid w:val="005434F7"/>
    <w:rsid w:val="00543D38"/>
    <w:rsid w:val="005449CE"/>
    <w:rsid w:val="00544E0F"/>
    <w:rsid w:val="00545528"/>
    <w:rsid w:val="00546E05"/>
    <w:rsid w:val="00546FC0"/>
    <w:rsid w:val="005476AB"/>
    <w:rsid w:val="00547DC4"/>
    <w:rsid w:val="005503E7"/>
    <w:rsid w:val="005514C8"/>
    <w:rsid w:val="005516D6"/>
    <w:rsid w:val="00551F14"/>
    <w:rsid w:val="00552C23"/>
    <w:rsid w:val="00552D1B"/>
    <w:rsid w:val="00552E1E"/>
    <w:rsid w:val="0055340D"/>
    <w:rsid w:val="00553795"/>
    <w:rsid w:val="00553BFD"/>
    <w:rsid w:val="00555278"/>
    <w:rsid w:val="00555475"/>
    <w:rsid w:val="00555496"/>
    <w:rsid w:val="00557481"/>
    <w:rsid w:val="0056058F"/>
    <w:rsid w:val="005616F8"/>
    <w:rsid w:val="00561F2D"/>
    <w:rsid w:val="00563A93"/>
    <w:rsid w:val="00563D21"/>
    <w:rsid w:val="005654DB"/>
    <w:rsid w:val="005660B9"/>
    <w:rsid w:val="005663D6"/>
    <w:rsid w:val="0056675D"/>
    <w:rsid w:val="00566794"/>
    <w:rsid w:val="00566C3A"/>
    <w:rsid w:val="00567244"/>
    <w:rsid w:val="00567BC4"/>
    <w:rsid w:val="005703EC"/>
    <w:rsid w:val="00570D0B"/>
    <w:rsid w:val="00570F99"/>
    <w:rsid w:val="005712F3"/>
    <w:rsid w:val="00571387"/>
    <w:rsid w:val="00572820"/>
    <w:rsid w:val="00572BA1"/>
    <w:rsid w:val="00573988"/>
    <w:rsid w:val="00573CF7"/>
    <w:rsid w:val="0057533F"/>
    <w:rsid w:val="0057605F"/>
    <w:rsid w:val="00576522"/>
    <w:rsid w:val="00576E53"/>
    <w:rsid w:val="00576EC5"/>
    <w:rsid w:val="00576F62"/>
    <w:rsid w:val="00580A4E"/>
    <w:rsid w:val="00581AE5"/>
    <w:rsid w:val="00583385"/>
    <w:rsid w:val="00583BAD"/>
    <w:rsid w:val="00584044"/>
    <w:rsid w:val="00584C05"/>
    <w:rsid w:val="0058570C"/>
    <w:rsid w:val="005867F7"/>
    <w:rsid w:val="0058761D"/>
    <w:rsid w:val="00587B80"/>
    <w:rsid w:val="00587C99"/>
    <w:rsid w:val="00590E46"/>
    <w:rsid w:val="00591C66"/>
    <w:rsid w:val="00591C84"/>
    <w:rsid w:val="00592016"/>
    <w:rsid w:val="005922C7"/>
    <w:rsid w:val="0059294C"/>
    <w:rsid w:val="00592AC8"/>
    <w:rsid w:val="00593133"/>
    <w:rsid w:val="00594A06"/>
    <w:rsid w:val="00595626"/>
    <w:rsid w:val="00595B6D"/>
    <w:rsid w:val="005A0EE6"/>
    <w:rsid w:val="005A1986"/>
    <w:rsid w:val="005A22FA"/>
    <w:rsid w:val="005A2595"/>
    <w:rsid w:val="005A2942"/>
    <w:rsid w:val="005A3097"/>
    <w:rsid w:val="005A30CA"/>
    <w:rsid w:val="005A3731"/>
    <w:rsid w:val="005A42EE"/>
    <w:rsid w:val="005A5E3C"/>
    <w:rsid w:val="005A7636"/>
    <w:rsid w:val="005A7D49"/>
    <w:rsid w:val="005B0815"/>
    <w:rsid w:val="005B1F6B"/>
    <w:rsid w:val="005B230C"/>
    <w:rsid w:val="005B27EF"/>
    <w:rsid w:val="005B3245"/>
    <w:rsid w:val="005B43A5"/>
    <w:rsid w:val="005B4D89"/>
    <w:rsid w:val="005C0A6C"/>
    <w:rsid w:val="005C0CF4"/>
    <w:rsid w:val="005C2CAD"/>
    <w:rsid w:val="005C4BF6"/>
    <w:rsid w:val="005C4EAF"/>
    <w:rsid w:val="005C5014"/>
    <w:rsid w:val="005C5FCB"/>
    <w:rsid w:val="005D0934"/>
    <w:rsid w:val="005D18E0"/>
    <w:rsid w:val="005D19AD"/>
    <w:rsid w:val="005D2243"/>
    <w:rsid w:val="005D2449"/>
    <w:rsid w:val="005D2DD5"/>
    <w:rsid w:val="005D37EE"/>
    <w:rsid w:val="005D6C38"/>
    <w:rsid w:val="005D7571"/>
    <w:rsid w:val="005E048E"/>
    <w:rsid w:val="005E06B1"/>
    <w:rsid w:val="005E1104"/>
    <w:rsid w:val="005E1CE8"/>
    <w:rsid w:val="005E34EF"/>
    <w:rsid w:val="005E491B"/>
    <w:rsid w:val="005E55C4"/>
    <w:rsid w:val="005E5733"/>
    <w:rsid w:val="005E5C43"/>
    <w:rsid w:val="005E6250"/>
    <w:rsid w:val="005E6349"/>
    <w:rsid w:val="005E640C"/>
    <w:rsid w:val="005E6752"/>
    <w:rsid w:val="005E726C"/>
    <w:rsid w:val="005E7803"/>
    <w:rsid w:val="005E7F9B"/>
    <w:rsid w:val="005F0269"/>
    <w:rsid w:val="005F1FCD"/>
    <w:rsid w:val="005F2193"/>
    <w:rsid w:val="005F2B3A"/>
    <w:rsid w:val="005F2FB3"/>
    <w:rsid w:val="005F318C"/>
    <w:rsid w:val="005F517F"/>
    <w:rsid w:val="005F54EC"/>
    <w:rsid w:val="005F5B49"/>
    <w:rsid w:val="005F6319"/>
    <w:rsid w:val="005F64D9"/>
    <w:rsid w:val="005F65C9"/>
    <w:rsid w:val="005F672D"/>
    <w:rsid w:val="005F7755"/>
    <w:rsid w:val="00600749"/>
    <w:rsid w:val="006026A0"/>
    <w:rsid w:val="00604E8A"/>
    <w:rsid w:val="006061EA"/>
    <w:rsid w:val="00606404"/>
    <w:rsid w:val="006069C4"/>
    <w:rsid w:val="00606A7C"/>
    <w:rsid w:val="00607E48"/>
    <w:rsid w:val="00610B82"/>
    <w:rsid w:val="006116B1"/>
    <w:rsid w:val="00612D4C"/>
    <w:rsid w:val="006135E7"/>
    <w:rsid w:val="00613771"/>
    <w:rsid w:val="00613AA5"/>
    <w:rsid w:val="006149BE"/>
    <w:rsid w:val="00615159"/>
    <w:rsid w:val="00615D29"/>
    <w:rsid w:val="00616045"/>
    <w:rsid w:val="00616571"/>
    <w:rsid w:val="00620B26"/>
    <w:rsid w:val="0062207A"/>
    <w:rsid w:val="006227A6"/>
    <w:rsid w:val="00622D50"/>
    <w:rsid w:val="00624676"/>
    <w:rsid w:val="00624F5A"/>
    <w:rsid w:val="006250AE"/>
    <w:rsid w:val="00625795"/>
    <w:rsid w:val="00626497"/>
    <w:rsid w:val="00626AE2"/>
    <w:rsid w:val="00626B6A"/>
    <w:rsid w:val="00631400"/>
    <w:rsid w:val="0063259F"/>
    <w:rsid w:val="006325DA"/>
    <w:rsid w:val="00632619"/>
    <w:rsid w:val="00632656"/>
    <w:rsid w:val="00632986"/>
    <w:rsid w:val="00632CBC"/>
    <w:rsid w:val="0063356A"/>
    <w:rsid w:val="00633BF8"/>
    <w:rsid w:val="0063539A"/>
    <w:rsid w:val="006353D4"/>
    <w:rsid w:val="00635D94"/>
    <w:rsid w:val="00637136"/>
    <w:rsid w:val="00637587"/>
    <w:rsid w:val="00637CD8"/>
    <w:rsid w:val="006400F2"/>
    <w:rsid w:val="00640332"/>
    <w:rsid w:val="00640377"/>
    <w:rsid w:val="00640A19"/>
    <w:rsid w:val="00640ED4"/>
    <w:rsid w:val="00642559"/>
    <w:rsid w:val="00642689"/>
    <w:rsid w:val="00642763"/>
    <w:rsid w:val="0064319D"/>
    <w:rsid w:val="006432A0"/>
    <w:rsid w:val="0064346E"/>
    <w:rsid w:val="00646839"/>
    <w:rsid w:val="00646DD7"/>
    <w:rsid w:val="006473DD"/>
    <w:rsid w:val="00647FFE"/>
    <w:rsid w:val="00650B13"/>
    <w:rsid w:val="00650C90"/>
    <w:rsid w:val="006511C3"/>
    <w:rsid w:val="006513C5"/>
    <w:rsid w:val="00651815"/>
    <w:rsid w:val="00651E25"/>
    <w:rsid w:val="00651F6B"/>
    <w:rsid w:val="006527D2"/>
    <w:rsid w:val="00652F07"/>
    <w:rsid w:val="00652FFA"/>
    <w:rsid w:val="00654588"/>
    <w:rsid w:val="006545DE"/>
    <w:rsid w:val="00655A8D"/>
    <w:rsid w:val="00656C99"/>
    <w:rsid w:val="0065745A"/>
    <w:rsid w:val="00657650"/>
    <w:rsid w:val="00657AA9"/>
    <w:rsid w:val="00657D1C"/>
    <w:rsid w:val="00657DD2"/>
    <w:rsid w:val="0066063E"/>
    <w:rsid w:val="00661487"/>
    <w:rsid w:val="00661776"/>
    <w:rsid w:val="0066258F"/>
    <w:rsid w:val="00662E1E"/>
    <w:rsid w:val="00664BCE"/>
    <w:rsid w:val="00665625"/>
    <w:rsid w:val="00666D54"/>
    <w:rsid w:val="00666F26"/>
    <w:rsid w:val="00667BA3"/>
    <w:rsid w:val="00667CA4"/>
    <w:rsid w:val="00670711"/>
    <w:rsid w:val="0067085D"/>
    <w:rsid w:val="0067099E"/>
    <w:rsid w:val="00670E3D"/>
    <w:rsid w:val="00672F85"/>
    <w:rsid w:val="006731A6"/>
    <w:rsid w:val="00673355"/>
    <w:rsid w:val="00674640"/>
    <w:rsid w:val="00674BA3"/>
    <w:rsid w:val="00674BBC"/>
    <w:rsid w:val="00674C6A"/>
    <w:rsid w:val="00674E8B"/>
    <w:rsid w:val="006750B6"/>
    <w:rsid w:val="006764C2"/>
    <w:rsid w:val="006776CE"/>
    <w:rsid w:val="0067791B"/>
    <w:rsid w:val="006779C5"/>
    <w:rsid w:val="006807FF"/>
    <w:rsid w:val="0068085A"/>
    <w:rsid w:val="006816D0"/>
    <w:rsid w:val="00681CAC"/>
    <w:rsid w:val="00681CBB"/>
    <w:rsid w:val="00682EB6"/>
    <w:rsid w:val="00683D49"/>
    <w:rsid w:val="00683DDC"/>
    <w:rsid w:val="0068414A"/>
    <w:rsid w:val="00684B4C"/>
    <w:rsid w:val="00684C82"/>
    <w:rsid w:val="00685221"/>
    <w:rsid w:val="006867C4"/>
    <w:rsid w:val="0068767D"/>
    <w:rsid w:val="006879F4"/>
    <w:rsid w:val="0069051C"/>
    <w:rsid w:val="006905F1"/>
    <w:rsid w:val="00690FCD"/>
    <w:rsid w:val="00691820"/>
    <w:rsid w:val="00691C6E"/>
    <w:rsid w:val="00694C69"/>
    <w:rsid w:val="00695C35"/>
    <w:rsid w:val="00695DD9"/>
    <w:rsid w:val="006A0108"/>
    <w:rsid w:val="006A0413"/>
    <w:rsid w:val="006A0D9C"/>
    <w:rsid w:val="006A1424"/>
    <w:rsid w:val="006A1E45"/>
    <w:rsid w:val="006A2595"/>
    <w:rsid w:val="006A3845"/>
    <w:rsid w:val="006A44FA"/>
    <w:rsid w:val="006A47B9"/>
    <w:rsid w:val="006A5537"/>
    <w:rsid w:val="006A6A25"/>
    <w:rsid w:val="006A7038"/>
    <w:rsid w:val="006A77ED"/>
    <w:rsid w:val="006B1B39"/>
    <w:rsid w:val="006B1D79"/>
    <w:rsid w:val="006B3A18"/>
    <w:rsid w:val="006B3B6F"/>
    <w:rsid w:val="006B4906"/>
    <w:rsid w:val="006B4DDA"/>
    <w:rsid w:val="006B504D"/>
    <w:rsid w:val="006B610D"/>
    <w:rsid w:val="006B61D1"/>
    <w:rsid w:val="006B742F"/>
    <w:rsid w:val="006B76E5"/>
    <w:rsid w:val="006B7836"/>
    <w:rsid w:val="006C0135"/>
    <w:rsid w:val="006C0B96"/>
    <w:rsid w:val="006C0DF7"/>
    <w:rsid w:val="006C1507"/>
    <w:rsid w:val="006C1A49"/>
    <w:rsid w:val="006C2F7F"/>
    <w:rsid w:val="006C3AEE"/>
    <w:rsid w:val="006C48CC"/>
    <w:rsid w:val="006C4CA5"/>
    <w:rsid w:val="006C5A40"/>
    <w:rsid w:val="006C6992"/>
    <w:rsid w:val="006D0E0A"/>
    <w:rsid w:val="006D164C"/>
    <w:rsid w:val="006D174F"/>
    <w:rsid w:val="006D1B32"/>
    <w:rsid w:val="006D265D"/>
    <w:rsid w:val="006D3638"/>
    <w:rsid w:val="006D61C3"/>
    <w:rsid w:val="006D68A6"/>
    <w:rsid w:val="006D719E"/>
    <w:rsid w:val="006D74DA"/>
    <w:rsid w:val="006D770A"/>
    <w:rsid w:val="006E0BD3"/>
    <w:rsid w:val="006E112C"/>
    <w:rsid w:val="006E1781"/>
    <w:rsid w:val="006E1960"/>
    <w:rsid w:val="006E2001"/>
    <w:rsid w:val="006E209B"/>
    <w:rsid w:val="006E564C"/>
    <w:rsid w:val="006F059C"/>
    <w:rsid w:val="006F167D"/>
    <w:rsid w:val="006F2333"/>
    <w:rsid w:val="006F385E"/>
    <w:rsid w:val="006F3C8C"/>
    <w:rsid w:val="006F4934"/>
    <w:rsid w:val="006F57A2"/>
    <w:rsid w:val="006F5984"/>
    <w:rsid w:val="006F602A"/>
    <w:rsid w:val="00700E08"/>
    <w:rsid w:val="007011E2"/>
    <w:rsid w:val="00701BF0"/>
    <w:rsid w:val="007023EF"/>
    <w:rsid w:val="00703018"/>
    <w:rsid w:val="00705D97"/>
    <w:rsid w:val="00705EC4"/>
    <w:rsid w:val="007067F9"/>
    <w:rsid w:val="00706903"/>
    <w:rsid w:val="00706919"/>
    <w:rsid w:val="00707D0B"/>
    <w:rsid w:val="00710518"/>
    <w:rsid w:val="007110CA"/>
    <w:rsid w:val="007111B8"/>
    <w:rsid w:val="0071133F"/>
    <w:rsid w:val="007117A4"/>
    <w:rsid w:val="00712E7D"/>
    <w:rsid w:val="00714169"/>
    <w:rsid w:val="007142F4"/>
    <w:rsid w:val="0071568A"/>
    <w:rsid w:val="0071615B"/>
    <w:rsid w:val="007170F6"/>
    <w:rsid w:val="007201D9"/>
    <w:rsid w:val="007217D9"/>
    <w:rsid w:val="00722562"/>
    <w:rsid w:val="00722825"/>
    <w:rsid w:val="007228D5"/>
    <w:rsid w:val="007252A4"/>
    <w:rsid w:val="0072593A"/>
    <w:rsid w:val="00727FEB"/>
    <w:rsid w:val="00730EB3"/>
    <w:rsid w:val="0073162E"/>
    <w:rsid w:val="00733CCB"/>
    <w:rsid w:val="00734BE3"/>
    <w:rsid w:val="007355BA"/>
    <w:rsid w:val="00735758"/>
    <w:rsid w:val="007358C1"/>
    <w:rsid w:val="007369F6"/>
    <w:rsid w:val="0073735E"/>
    <w:rsid w:val="007413DE"/>
    <w:rsid w:val="00741467"/>
    <w:rsid w:val="00743973"/>
    <w:rsid w:val="00744920"/>
    <w:rsid w:val="00744AAB"/>
    <w:rsid w:val="00744FD4"/>
    <w:rsid w:val="00745D4D"/>
    <w:rsid w:val="007467C2"/>
    <w:rsid w:val="007477AE"/>
    <w:rsid w:val="00747FD1"/>
    <w:rsid w:val="00750321"/>
    <w:rsid w:val="007515FD"/>
    <w:rsid w:val="007529C2"/>
    <w:rsid w:val="00753D26"/>
    <w:rsid w:val="00753DAA"/>
    <w:rsid w:val="007541F8"/>
    <w:rsid w:val="00754EC5"/>
    <w:rsid w:val="00756A59"/>
    <w:rsid w:val="00756DD6"/>
    <w:rsid w:val="0075771B"/>
    <w:rsid w:val="00757943"/>
    <w:rsid w:val="007604C6"/>
    <w:rsid w:val="00760BB8"/>
    <w:rsid w:val="0076210D"/>
    <w:rsid w:val="00762869"/>
    <w:rsid w:val="00762F37"/>
    <w:rsid w:val="0076460E"/>
    <w:rsid w:val="007654EF"/>
    <w:rsid w:val="007659C9"/>
    <w:rsid w:val="00765AC4"/>
    <w:rsid w:val="00765F3A"/>
    <w:rsid w:val="0076630B"/>
    <w:rsid w:val="007666A0"/>
    <w:rsid w:val="00766F41"/>
    <w:rsid w:val="00767694"/>
    <w:rsid w:val="007676C5"/>
    <w:rsid w:val="00770937"/>
    <w:rsid w:val="00770A0A"/>
    <w:rsid w:val="007714E5"/>
    <w:rsid w:val="0077199B"/>
    <w:rsid w:val="00773059"/>
    <w:rsid w:val="00773157"/>
    <w:rsid w:val="007734C1"/>
    <w:rsid w:val="007766DA"/>
    <w:rsid w:val="00776DBF"/>
    <w:rsid w:val="0078052B"/>
    <w:rsid w:val="0078101A"/>
    <w:rsid w:val="00781825"/>
    <w:rsid w:val="00783F9E"/>
    <w:rsid w:val="007846D3"/>
    <w:rsid w:val="00785237"/>
    <w:rsid w:val="00785BF7"/>
    <w:rsid w:val="00785C58"/>
    <w:rsid w:val="00785FA1"/>
    <w:rsid w:val="007862A1"/>
    <w:rsid w:val="0078670A"/>
    <w:rsid w:val="00787945"/>
    <w:rsid w:val="00790388"/>
    <w:rsid w:val="00790B6C"/>
    <w:rsid w:val="007931F2"/>
    <w:rsid w:val="00793347"/>
    <w:rsid w:val="00793D86"/>
    <w:rsid w:val="007940C3"/>
    <w:rsid w:val="0079436B"/>
    <w:rsid w:val="007948D8"/>
    <w:rsid w:val="00794E93"/>
    <w:rsid w:val="00794FE2"/>
    <w:rsid w:val="0079545A"/>
    <w:rsid w:val="007956D5"/>
    <w:rsid w:val="00795E66"/>
    <w:rsid w:val="007960D8"/>
    <w:rsid w:val="00796B4E"/>
    <w:rsid w:val="00796FAC"/>
    <w:rsid w:val="007A1280"/>
    <w:rsid w:val="007A1B9F"/>
    <w:rsid w:val="007A1EF8"/>
    <w:rsid w:val="007A2CD5"/>
    <w:rsid w:val="007A2E28"/>
    <w:rsid w:val="007A34A4"/>
    <w:rsid w:val="007A3B66"/>
    <w:rsid w:val="007A535A"/>
    <w:rsid w:val="007A7E99"/>
    <w:rsid w:val="007A7EBD"/>
    <w:rsid w:val="007B01F9"/>
    <w:rsid w:val="007B3491"/>
    <w:rsid w:val="007B432B"/>
    <w:rsid w:val="007B4363"/>
    <w:rsid w:val="007B51CF"/>
    <w:rsid w:val="007B6700"/>
    <w:rsid w:val="007B6E01"/>
    <w:rsid w:val="007B7600"/>
    <w:rsid w:val="007C1D52"/>
    <w:rsid w:val="007C233C"/>
    <w:rsid w:val="007C2915"/>
    <w:rsid w:val="007C31AF"/>
    <w:rsid w:val="007C3875"/>
    <w:rsid w:val="007C3E80"/>
    <w:rsid w:val="007C4588"/>
    <w:rsid w:val="007C4A1E"/>
    <w:rsid w:val="007C5687"/>
    <w:rsid w:val="007C7AC6"/>
    <w:rsid w:val="007C7B36"/>
    <w:rsid w:val="007D1065"/>
    <w:rsid w:val="007D14CA"/>
    <w:rsid w:val="007D2382"/>
    <w:rsid w:val="007D2EE5"/>
    <w:rsid w:val="007D35E2"/>
    <w:rsid w:val="007D3715"/>
    <w:rsid w:val="007D37A2"/>
    <w:rsid w:val="007D45DF"/>
    <w:rsid w:val="007D46BC"/>
    <w:rsid w:val="007D4FF8"/>
    <w:rsid w:val="007D60C5"/>
    <w:rsid w:val="007D6BD4"/>
    <w:rsid w:val="007D76D7"/>
    <w:rsid w:val="007E221C"/>
    <w:rsid w:val="007E2641"/>
    <w:rsid w:val="007E2C3F"/>
    <w:rsid w:val="007E313E"/>
    <w:rsid w:val="007E3323"/>
    <w:rsid w:val="007E3E69"/>
    <w:rsid w:val="007E44FC"/>
    <w:rsid w:val="007E4CFE"/>
    <w:rsid w:val="007E520D"/>
    <w:rsid w:val="007E57A9"/>
    <w:rsid w:val="007E5B31"/>
    <w:rsid w:val="007E5FAC"/>
    <w:rsid w:val="007E6631"/>
    <w:rsid w:val="007F032C"/>
    <w:rsid w:val="007F0803"/>
    <w:rsid w:val="007F38B2"/>
    <w:rsid w:val="007F398C"/>
    <w:rsid w:val="007F5892"/>
    <w:rsid w:val="007F59A6"/>
    <w:rsid w:val="007F5B19"/>
    <w:rsid w:val="007F66E1"/>
    <w:rsid w:val="007F670F"/>
    <w:rsid w:val="007F6B1F"/>
    <w:rsid w:val="007F7ACD"/>
    <w:rsid w:val="00804940"/>
    <w:rsid w:val="00806AA5"/>
    <w:rsid w:val="00807E9D"/>
    <w:rsid w:val="00811701"/>
    <w:rsid w:val="00811895"/>
    <w:rsid w:val="00811A64"/>
    <w:rsid w:val="00811DD0"/>
    <w:rsid w:val="00811EDC"/>
    <w:rsid w:val="0081203E"/>
    <w:rsid w:val="00812533"/>
    <w:rsid w:val="008130D7"/>
    <w:rsid w:val="008132B5"/>
    <w:rsid w:val="008155F9"/>
    <w:rsid w:val="00816CF3"/>
    <w:rsid w:val="00816F19"/>
    <w:rsid w:val="00817204"/>
    <w:rsid w:val="00817BBB"/>
    <w:rsid w:val="00817C6B"/>
    <w:rsid w:val="0082091A"/>
    <w:rsid w:val="00821679"/>
    <w:rsid w:val="00821C9B"/>
    <w:rsid w:val="00823290"/>
    <w:rsid w:val="00823AE7"/>
    <w:rsid w:val="00824D51"/>
    <w:rsid w:val="008264C3"/>
    <w:rsid w:val="00827E34"/>
    <w:rsid w:val="00830E42"/>
    <w:rsid w:val="00831599"/>
    <w:rsid w:val="00831DD5"/>
    <w:rsid w:val="00832344"/>
    <w:rsid w:val="008349C1"/>
    <w:rsid w:val="00834DAF"/>
    <w:rsid w:val="0083503A"/>
    <w:rsid w:val="008351FF"/>
    <w:rsid w:val="00835D9C"/>
    <w:rsid w:val="008360D5"/>
    <w:rsid w:val="00836CDE"/>
    <w:rsid w:val="00837526"/>
    <w:rsid w:val="008375A7"/>
    <w:rsid w:val="00837E1E"/>
    <w:rsid w:val="008400A9"/>
    <w:rsid w:val="0084176D"/>
    <w:rsid w:val="00841D63"/>
    <w:rsid w:val="00843100"/>
    <w:rsid w:val="00843132"/>
    <w:rsid w:val="008435C2"/>
    <w:rsid w:val="008435C3"/>
    <w:rsid w:val="008438D8"/>
    <w:rsid w:val="00843BB9"/>
    <w:rsid w:val="008440D6"/>
    <w:rsid w:val="00844A81"/>
    <w:rsid w:val="00844B93"/>
    <w:rsid w:val="00846875"/>
    <w:rsid w:val="00846F48"/>
    <w:rsid w:val="0084724E"/>
    <w:rsid w:val="00847CCC"/>
    <w:rsid w:val="00847F63"/>
    <w:rsid w:val="0085146D"/>
    <w:rsid w:val="008516AA"/>
    <w:rsid w:val="00851711"/>
    <w:rsid w:val="008518B4"/>
    <w:rsid w:val="00851947"/>
    <w:rsid w:val="00853260"/>
    <w:rsid w:val="008546E6"/>
    <w:rsid w:val="00855A42"/>
    <w:rsid w:val="00855B85"/>
    <w:rsid w:val="00855C82"/>
    <w:rsid w:val="00856A21"/>
    <w:rsid w:val="00856A5B"/>
    <w:rsid w:val="00856EA0"/>
    <w:rsid w:val="00857EF0"/>
    <w:rsid w:val="00861ECC"/>
    <w:rsid w:val="00861F67"/>
    <w:rsid w:val="008627DF"/>
    <w:rsid w:val="00864AB0"/>
    <w:rsid w:val="00865806"/>
    <w:rsid w:val="00865BF6"/>
    <w:rsid w:val="008662ED"/>
    <w:rsid w:val="008664FC"/>
    <w:rsid w:val="00867560"/>
    <w:rsid w:val="00872532"/>
    <w:rsid w:val="00874694"/>
    <w:rsid w:val="00874AB2"/>
    <w:rsid w:val="00875E55"/>
    <w:rsid w:val="00875F0D"/>
    <w:rsid w:val="00876269"/>
    <w:rsid w:val="00882BA2"/>
    <w:rsid w:val="00882C0E"/>
    <w:rsid w:val="008853C9"/>
    <w:rsid w:val="008859AB"/>
    <w:rsid w:val="00886112"/>
    <w:rsid w:val="00886628"/>
    <w:rsid w:val="00886E86"/>
    <w:rsid w:val="00887A9E"/>
    <w:rsid w:val="00890ABA"/>
    <w:rsid w:val="00891681"/>
    <w:rsid w:val="00891EE4"/>
    <w:rsid w:val="0089277E"/>
    <w:rsid w:val="00893991"/>
    <w:rsid w:val="00894808"/>
    <w:rsid w:val="00894A72"/>
    <w:rsid w:val="00894D45"/>
    <w:rsid w:val="00895922"/>
    <w:rsid w:val="00895AB7"/>
    <w:rsid w:val="00897416"/>
    <w:rsid w:val="00897DCB"/>
    <w:rsid w:val="008A185A"/>
    <w:rsid w:val="008A18D2"/>
    <w:rsid w:val="008A3601"/>
    <w:rsid w:val="008A4257"/>
    <w:rsid w:val="008A4AD1"/>
    <w:rsid w:val="008A58E1"/>
    <w:rsid w:val="008A5C6B"/>
    <w:rsid w:val="008A5EC2"/>
    <w:rsid w:val="008A65CA"/>
    <w:rsid w:val="008A6DDF"/>
    <w:rsid w:val="008A6FCC"/>
    <w:rsid w:val="008A7BC0"/>
    <w:rsid w:val="008B1097"/>
    <w:rsid w:val="008B17DE"/>
    <w:rsid w:val="008B1EBF"/>
    <w:rsid w:val="008B3044"/>
    <w:rsid w:val="008B39AA"/>
    <w:rsid w:val="008B3F82"/>
    <w:rsid w:val="008B4579"/>
    <w:rsid w:val="008B4D49"/>
    <w:rsid w:val="008B5A90"/>
    <w:rsid w:val="008B5C19"/>
    <w:rsid w:val="008B6134"/>
    <w:rsid w:val="008B6A26"/>
    <w:rsid w:val="008B6A46"/>
    <w:rsid w:val="008B7B71"/>
    <w:rsid w:val="008B7DB3"/>
    <w:rsid w:val="008C007B"/>
    <w:rsid w:val="008C3E78"/>
    <w:rsid w:val="008C4BD8"/>
    <w:rsid w:val="008C74C9"/>
    <w:rsid w:val="008D092F"/>
    <w:rsid w:val="008D0C01"/>
    <w:rsid w:val="008D1538"/>
    <w:rsid w:val="008D1D19"/>
    <w:rsid w:val="008D2323"/>
    <w:rsid w:val="008D3599"/>
    <w:rsid w:val="008D39A7"/>
    <w:rsid w:val="008D45DC"/>
    <w:rsid w:val="008D5C75"/>
    <w:rsid w:val="008D6744"/>
    <w:rsid w:val="008D6AD7"/>
    <w:rsid w:val="008D7551"/>
    <w:rsid w:val="008E1947"/>
    <w:rsid w:val="008E1FFF"/>
    <w:rsid w:val="008E2879"/>
    <w:rsid w:val="008E29BC"/>
    <w:rsid w:val="008E2DD1"/>
    <w:rsid w:val="008E541F"/>
    <w:rsid w:val="008E6545"/>
    <w:rsid w:val="008E728D"/>
    <w:rsid w:val="008F0A0D"/>
    <w:rsid w:val="008F1C49"/>
    <w:rsid w:val="008F1C95"/>
    <w:rsid w:val="008F1C98"/>
    <w:rsid w:val="008F1D0A"/>
    <w:rsid w:val="008F222B"/>
    <w:rsid w:val="008F22DD"/>
    <w:rsid w:val="008F274C"/>
    <w:rsid w:val="008F3C84"/>
    <w:rsid w:val="008F3D1B"/>
    <w:rsid w:val="008F4020"/>
    <w:rsid w:val="008F4F37"/>
    <w:rsid w:val="008F5882"/>
    <w:rsid w:val="008F6507"/>
    <w:rsid w:val="008F67EE"/>
    <w:rsid w:val="008F6F98"/>
    <w:rsid w:val="00900B3E"/>
    <w:rsid w:val="0090340E"/>
    <w:rsid w:val="00904C65"/>
    <w:rsid w:val="009053AA"/>
    <w:rsid w:val="009064A9"/>
    <w:rsid w:val="009101C1"/>
    <w:rsid w:val="0091192E"/>
    <w:rsid w:val="00913A7D"/>
    <w:rsid w:val="00914A2E"/>
    <w:rsid w:val="00914C8F"/>
    <w:rsid w:val="009163BA"/>
    <w:rsid w:val="00916B7F"/>
    <w:rsid w:val="00917062"/>
    <w:rsid w:val="00917855"/>
    <w:rsid w:val="00921443"/>
    <w:rsid w:val="0092191C"/>
    <w:rsid w:val="00921AB4"/>
    <w:rsid w:val="00921B43"/>
    <w:rsid w:val="00921DB4"/>
    <w:rsid w:val="00922B25"/>
    <w:rsid w:val="0092388A"/>
    <w:rsid w:val="00924DEF"/>
    <w:rsid w:val="009253B9"/>
    <w:rsid w:val="009253E9"/>
    <w:rsid w:val="0092617E"/>
    <w:rsid w:val="0092674C"/>
    <w:rsid w:val="00927C2C"/>
    <w:rsid w:val="00930516"/>
    <w:rsid w:val="00930A07"/>
    <w:rsid w:val="00930BE4"/>
    <w:rsid w:val="00931461"/>
    <w:rsid w:val="00931801"/>
    <w:rsid w:val="009318E8"/>
    <w:rsid w:val="00931E81"/>
    <w:rsid w:val="00932CC6"/>
    <w:rsid w:val="009332D7"/>
    <w:rsid w:val="009333D3"/>
    <w:rsid w:val="00933921"/>
    <w:rsid w:val="009339C5"/>
    <w:rsid w:val="00933B71"/>
    <w:rsid w:val="00934807"/>
    <w:rsid w:val="0093580B"/>
    <w:rsid w:val="009369BA"/>
    <w:rsid w:val="00936D72"/>
    <w:rsid w:val="009370A2"/>
    <w:rsid w:val="009407F6"/>
    <w:rsid w:val="00940B5D"/>
    <w:rsid w:val="00941640"/>
    <w:rsid w:val="00942FBC"/>
    <w:rsid w:val="009436E8"/>
    <w:rsid w:val="009439EA"/>
    <w:rsid w:val="00946B89"/>
    <w:rsid w:val="00950752"/>
    <w:rsid w:val="00950984"/>
    <w:rsid w:val="009517A4"/>
    <w:rsid w:val="00951B96"/>
    <w:rsid w:val="0095351C"/>
    <w:rsid w:val="00953C76"/>
    <w:rsid w:val="00955947"/>
    <w:rsid w:val="00955E9C"/>
    <w:rsid w:val="00956783"/>
    <w:rsid w:val="00960126"/>
    <w:rsid w:val="00961476"/>
    <w:rsid w:val="0096191C"/>
    <w:rsid w:val="0096280E"/>
    <w:rsid w:val="009628AD"/>
    <w:rsid w:val="0096292F"/>
    <w:rsid w:val="009646EE"/>
    <w:rsid w:val="00964E64"/>
    <w:rsid w:val="00964F21"/>
    <w:rsid w:val="0096759C"/>
    <w:rsid w:val="00967B60"/>
    <w:rsid w:val="0097074B"/>
    <w:rsid w:val="009709FF"/>
    <w:rsid w:val="00970BDA"/>
    <w:rsid w:val="00970D30"/>
    <w:rsid w:val="00971683"/>
    <w:rsid w:val="00972D35"/>
    <w:rsid w:val="00972D4C"/>
    <w:rsid w:val="00973DDE"/>
    <w:rsid w:val="00974C55"/>
    <w:rsid w:val="00974D99"/>
    <w:rsid w:val="00974F02"/>
    <w:rsid w:val="00975205"/>
    <w:rsid w:val="00975661"/>
    <w:rsid w:val="00975C24"/>
    <w:rsid w:val="00976DA4"/>
    <w:rsid w:val="009773F6"/>
    <w:rsid w:val="00977EB0"/>
    <w:rsid w:val="0098362A"/>
    <w:rsid w:val="00983B8C"/>
    <w:rsid w:val="00985749"/>
    <w:rsid w:val="00985E7E"/>
    <w:rsid w:val="00986BED"/>
    <w:rsid w:val="00986EFC"/>
    <w:rsid w:val="00990510"/>
    <w:rsid w:val="009929A4"/>
    <w:rsid w:val="0099372A"/>
    <w:rsid w:val="009958DF"/>
    <w:rsid w:val="00995ED7"/>
    <w:rsid w:val="009965DC"/>
    <w:rsid w:val="00996783"/>
    <w:rsid w:val="00996C54"/>
    <w:rsid w:val="00997FDB"/>
    <w:rsid w:val="009A0403"/>
    <w:rsid w:val="009A222E"/>
    <w:rsid w:val="009A29C8"/>
    <w:rsid w:val="009A32D5"/>
    <w:rsid w:val="009A332B"/>
    <w:rsid w:val="009A39F2"/>
    <w:rsid w:val="009A3DFC"/>
    <w:rsid w:val="009A53AF"/>
    <w:rsid w:val="009A552E"/>
    <w:rsid w:val="009A63AE"/>
    <w:rsid w:val="009A7758"/>
    <w:rsid w:val="009B009B"/>
    <w:rsid w:val="009B03F0"/>
    <w:rsid w:val="009B0FDA"/>
    <w:rsid w:val="009B1317"/>
    <w:rsid w:val="009B14D1"/>
    <w:rsid w:val="009B2D3F"/>
    <w:rsid w:val="009B325B"/>
    <w:rsid w:val="009B412F"/>
    <w:rsid w:val="009B49F0"/>
    <w:rsid w:val="009B4BEC"/>
    <w:rsid w:val="009B4CC6"/>
    <w:rsid w:val="009B4CD3"/>
    <w:rsid w:val="009B5E78"/>
    <w:rsid w:val="009B6340"/>
    <w:rsid w:val="009B75A9"/>
    <w:rsid w:val="009B7634"/>
    <w:rsid w:val="009C0B1A"/>
    <w:rsid w:val="009C1038"/>
    <w:rsid w:val="009C3722"/>
    <w:rsid w:val="009C3A82"/>
    <w:rsid w:val="009C3BDD"/>
    <w:rsid w:val="009C3FD9"/>
    <w:rsid w:val="009C5588"/>
    <w:rsid w:val="009C5988"/>
    <w:rsid w:val="009C5F74"/>
    <w:rsid w:val="009C6523"/>
    <w:rsid w:val="009C7227"/>
    <w:rsid w:val="009C774C"/>
    <w:rsid w:val="009C7BEB"/>
    <w:rsid w:val="009D0391"/>
    <w:rsid w:val="009D1DB1"/>
    <w:rsid w:val="009D2B13"/>
    <w:rsid w:val="009D2FFB"/>
    <w:rsid w:val="009D4530"/>
    <w:rsid w:val="009D4EAC"/>
    <w:rsid w:val="009D55B0"/>
    <w:rsid w:val="009D6E92"/>
    <w:rsid w:val="009E10E2"/>
    <w:rsid w:val="009E1245"/>
    <w:rsid w:val="009E26FF"/>
    <w:rsid w:val="009E308F"/>
    <w:rsid w:val="009E3348"/>
    <w:rsid w:val="009E37F1"/>
    <w:rsid w:val="009E39DD"/>
    <w:rsid w:val="009E4A98"/>
    <w:rsid w:val="009E4F24"/>
    <w:rsid w:val="009E5028"/>
    <w:rsid w:val="009E5D02"/>
    <w:rsid w:val="009E5FB9"/>
    <w:rsid w:val="009E622E"/>
    <w:rsid w:val="009E6BB2"/>
    <w:rsid w:val="009E7EC2"/>
    <w:rsid w:val="009E7ED4"/>
    <w:rsid w:val="009F0D23"/>
    <w:rsid w:val="009F1068"/>
    <w:rsid w:val="009F2A08"/>
    <w:rsid w:val="009F2D13"/>
    <w:rsid w:val="009F3052"/>
    <w:rsid w:val="009F3A26"/>
    <w:rsid w:val="009F3D07"/>
    <w:rsid w:val="009F3F16"/>
    <w:rsid w:val="009F45A9"/>
    <w:rsid w:val="009F5DEE"/>
    <w:rsid w:val="009F67D3"/>
    <w:rsid w:val="009F78C2"/>
    <w:rsid w:val="009F7D85"/>
    <w:rsid w:val="00A000F3"/>
    <w:rsid w:val="00A01477"/>
    <w:rsid w:val="00A01712"/>
    <w:rsid w:val="00A01787"/>
    <w:rsid w:val="00A01F9D"/>
    <w:rsid w:val="00A027BC"/>
    <w:rsid w:val="00A0319E"/>
    <w:rsid w:val="00A03450"/>
    <w:rsid w:val="00A038F9"/>
    <w:rsid w:val="00A0433F"/>
    <w:rsid w:val="00A049F9"/>
    <w:rsid w:val="00A04BAB"/>
    <w:rsid w:val="00A05104"/>
    <w:rsid w:val="00A05506"/>
    <w:rsid w:val="00A05B3B"/>
    <w:rsid w:val="00A06904"/>
    <w:rsid w:val="00A06A4D"/>
    <w:rsid w:val="00A10CEB"/>
    <w:rsid w:val="00A136A4"/>
    <w:rsid w:val="00A140AC"/>
    <w:rsid w:val="00A15EB1"/>
    <w:rsid w:val="00A16B6E"/>
    <w:rsid w:val="00A17BE1"/>
    <w:rsid w:val="00A21EB5"/>
    <w:rsid w:val="00A23518"/>
    <w:rsid w:val="00A23ED6"/>
    <w:rsid w:val="00A24B72"/>
    <w:rsid w:val="00A253E8"/>
    <w:rsid w:val="00A27A00"/>
    <w:rsid w:val="00A301E1"/>
    <w:rsid w:val="00A30C59"/>
    <w:rsid w:val="00A30E94"/>
    <w:rsid w:val="00A30EE0"/>
    <w:rsid w:val="00A31071"/>
    <w:rsid w:val="00A311A5"/>
    <w:rsid w:val="00A31F75"/>
    <w:rsid w:val="00A334FD"/>
    <w:rsid w:val="00A33763"/>
    <w:rsid w:val="00A34CDF"/>
    <w:rsid w:val="00A35942"/>
    <w:rsid w:val="00A3728E"/>
    <w:rsid w:val="00A37360"/>
    <w:rsid w:val="00A375E6"/>
    <w:rsid w:val="00A37C8E"/>
    <w:rsid w:val="00A402B0"/>
    <w:rsid w:val="00A40455"/>
    <w:rsid w:val="00A40547"/>
    <w:rsid w:val="00A43538"/>
    <w:rsid w:val="00A43AC0"/>
    <w:rsid w:val="00A44DC5"/>
    <w:rsid w:val="00A45157"/>
    <w:rsid w:val="00A451D8"/>
    <w:rsid w:val="00A46D76"/>
    <w:rsid w:val="00A46D7A"/>
    <w:rsid w:val="00A47338"/>
    <w:rsid w:val="00A500A9"/>
    <w:rsid w:val="00A50F49"/>
    <w:rsid w:val="00A513B4"/>
    <w:rsid w:val="00A51B87"/>
    <w:rsid w:val="00A53035"/>
    <w:rsid w:val="00A53E36"/>
    <w:rsid w:val="00A550DF"/>
    <w:rsid w:val="00A55AE7"/>
    <w:rsid w:val="00A55E66"/>
    <w:rsid w:val="00A57C3A"/>
    <w:rsid w:val="00A60985"/>
    <w:rsid w:val="00A60B9A"/>
    <w:rsid w:val="00A61499"/>
    <w:rsid w:val="00A61991"/>
    <w:rsid w:val="00A61A78"/>
    <w:rsid w:val="00A62312"/>
    <w:rsid w:val="00A62B21"/>
    <w:rsid w:val="00A65551"/>
    <w:rsid w:val="00A666B8"/>
    <w:rsid w:val="00A67942"/>
    <w:rsid w:val="00A67BB8"/>
    <w:rsid w:val="00A70762"/>
    <w:rsid w:val="00A70925"/>
    <w:rsid w:val="00A73F30"/>
    <w:rsid w:val="00A74ACF"/>
    <w:rsid w:val="00A75957"/>
    <w:rsid w:val="00A765C9"/>
    <w:rsid w:val="00A77849"/>
    <w:rsid w:val="00A80998"/>
    <w:rsid w:val="00A80E56"/>
    <w:rsid w:val="00A81A25"/>
    <w:rsid w:val="00A83540"/>
    <w:rsid w:val="00A86759"/>
    <w:rsid w:val="00A8776A"/>
    <w:rsid w:val="00A908EF"/>
    <w:rsid w:val="00A909A8"/>
    <w:rsid w:val="00A935A4"/>
    <w:rsid w:val="00A93B75"/>
    <w:rsid w:val="00A93B8D"/>
    <w:rsid w:val="00A9598A"/>
    <w:rsid w:val="00A95B42"/>
    <w:rsid w:val="00A95DB7"/>
    <w:rsid w:val="00A96806"/>
    <w:rsid w:val="00AA1CFE"/>
    <w:rsid w:val="00AA4045"/>
    <w:rsid w:val="00AA4684"/>
    <w:rsid w:val="00AA4FBF"/>
    <w:rsid w:val="00AA534F"/>
    <w:rsid w:val="00AA5B3D"/>
    <w:rsid w:val="00AA7972"/>
    <w:rsid w:val="00AB0C7C"/>
    <w:rsid w:val="00AB1184"/>
    <w:rsid w:val="00AB37C1"/>
    <w:rsid w:val="00AB4012"/>
    <w:rsid w:val="00AB4B2D"/>
    <w:rsid w:val="00AB5400"/>
    <w:rsid w:val="00AB60A0"/>
    <w:rsid w:val="00AB6147"/>
    <w:rsid w:val="00AC033F"/>
    <w:rsid w:val="00AC0521"/>
    <w:rsid w:val="00AC091F"/>
    <w:rsid w:val="00AC0A8F"/>
    <w:rsid w:val="00AC0FE5"/>
    <w:rsid w:val="00AC107B"/>
    <w:rsid w:val="00AC1DF4"/>
    <w:rsid w:val="00AC20C8"/>
    <w:rsid w:val="00AC2137"/>
    <w:rsid w:val="00AC38FA"/>
    <w:rsid w:val="00AC4401"/>
    <w:rsid w:val="00AC4D50"/>
    <w:rsid w:val="00AC62E7"/>
    <w:rsid w:val="00AC6E2F"/>
    <w:rsid w:val="00AC7F74"/>
    <w:rsid w:val="00AD0ABA"/>
    <w:rsid w:val="00AD2FAF"/>
    <w:rsid w:val="00AD3386"/>
    <w:rsid w:val="00AD3B9F"/>
    <w:rsid w:val="00AD45DC"/>
    <w:rsid w:val="00AD671C"/>
    <w:rsid w:val="00AE075C"/>
    <w:rsid w:val="00AE121F"/>
    <w:rsid w:val="00AE31ED"/>
    <w:rsid w:val="00AE3545"/>
    <w:rsid w:val="00AE41B8"/>
    <w:rsid w:val="00AE4407"/>
    <w:rsid w:val="00AE4436"/>
    <w:rsid w:val="00AE4ABB"/>
    <w:rsid w:val="00AE4DAD"/>
    <w:rsid w:val="00AE58C0"/>
    <w:rsid w:val="00AE6936"/>
    <w:rsid w:val="00AE7528"/>
    <w:rsid w:val="00AE7EA8"/>
    <w:rsid w:val="00AF10A8"/>
    <w:rsid w:val="00AF1F17"/>
    <w:rsid w:val="00AF2918"/>
    <w:rsid w:val="00AF2BD6"/>
    <w:rsid w:val="00AF374E"/>
    <w:rsid w:val="00AF4712"/>
    <w:rsid w:val="00AF477A"/>
    <w:rsid w:val="00AF529C"/>
    <w:rsid w:val="00AF58F8"/>
    <w:rsid w:val="00AF5E56"/>
    <w:rsid w:val="00AF6F75"/>
    <w:rsid w:val="00B00A63"/>
    <w:rsid w:val="00B01008"/>
    <w:rsid w:val="00B010E9"/>
    <w:rsid w:val="00B02864"/>
    <w:rsid w:val="00B03040"/>
    <w:rsid w:val="00B03EE7"/>
    <w:rsid w:val="00B05673"/>
    <w:rsid w:val="00B07168"/>
    <w:rsid w:val="00B07930"/>
    <w:rsid w:val="00B108DC"/>
    <w:rsid w:val="00B10F0A"/>
    <w:rsid w:val="00B1154D"/>
    <w:rsid w:val="00B11916"/>
    <w:rsid w:val="00B11F50"/>
    <w:rsid w:val="00B12024"/>
    <w:rsid w:val="00B1234E"/>
    <w:rsid w:val="00B13192"/>
    <w:rsid w:val="00B13198"/>
    <w:rsid w:val="00B13239"/>
    <w:rsid w:val="00B13BE4"/>
    <w:rsid w:val="00B148D6"/>
    <w:rsid w:val="00B14B71"/>
    <w:rsid w:val="00B14E51"/>
    <w:rsid w:val="00B15693"/>
    <w:rsid w:val="00B15D3F"/>
    <w:rsid w:val="00B16E13"/>
    <w:rsid w:val="00B179F1"/>
    <w:rsid w:val="00B17E97"/>
    <w:rsid w:val="00B17FD5"/>
    <w:rsid w:val="00B200A5"/>
    <w:rsid w:val="00B206A6"/>
    <w:rsid w:val="00B20983"/>
    <w:rsid w:val="00B221FE"/>
    <w:rsid w:val="00B224CD"/>
    <w:rsid w:val="00B22B8C"/>
    <w:rsid w:val="00B22C33"/>
    <w:rsid w:val="00B22E1C"/>
    <w:rsid w:val="00B23CBA"/>
    <w:rsid w:val="00B24054"/>
    <w:rsid w:val="00B24072"/>
    <w:rsid w:val="00B25A2B"/>
    <w:rsid w:val="00B25CEB"/>
    <w:rsid w:val="00B31A67"/>
    <w:rsid w:val="00B32CD6"/>
    <w:rsid w:val="00B3388A"/>
    <w:rsid w:val="00B35999"/>
    <w:rsid w:val="00B36B2B"/>
    <w:rsid w:val="00B36DF6"/>
    <w:rsid w:val="00B3786E"/>
    <w:rsid w:val="00B41FA4"/>
    <w:rsid w:val="00B42F2A"/>
    <w:rsid w:val="00B43171"/>
    <w:rsid w:val="00B4436F"/>
    <w:rsid w:val="00B44923"/>
    <w:rsid w:val="00B44B42"/>
    <w:rsid w:val="00B44B98"/>
    <w:rsid w:val="00B45911"/>
    <w:rsid w:val="00B45CC1"/>
    <w:rsid w:val="00B4639C"/>
    <w:rsid w:val="00B46C0C"/>
    <w:rsid w:val="00B4726B"/>
    <w:rsid w:val="00B50B34"/>
    <w:rsid w:val="00B513D5"/>
    <w:rsid w:val="00B51443"/>
    <w:rsid w:val="00B51494"/>
    <w:rsid w:val="00B517D0"/>
    <w:rsid w:val="00B517D9"/>
    <w:rsid w:val="00B52645"/>
    <w:rsid w:val="00B52DE6"/>
    <w:rsid w:val="00B53266"/>
    <w:rsid w:val="00B53F8E"/>
    <w:rsid w:val="00B55926"/>
    <w:rsid w:val="00B55ED2"/>
    <w:rsid w:val="00B6134A"/>
    <w:rsid w:val="00B62FA2"/>
    <w:rsid w:val="00B651E3"/>
    <w:rsid w:val="00B656C7"/>
    <w:rsid w:val="00B65B4A"/>
    <w:rsid w:val="00B66C90"/>
    <w:rsid w:val="00B67246"/>
    <w:rsid w:val="00B70447"/>
    <w:rsid w:val="00B70506"/>
    <w:rsid w:val="00B7064E"/>
    <w:rsid w:val="00B70DD1"/>
    <w:rsid w:val="00B70EAF"/>
    <w:rsid w:val="00B71839"/>
    <w:rsid w:val="00B72108"/>
    <w:rsid w:val="00B72A26"/>
    <w:rsid w:val="00B72C3F"/>
    <w:rsid w:val="00B73037"/>
    <w:rsid w:val="00B73473"/>
    <w:rsid w:val="00B73675"/>
    <w:rsid w:val="00B74212"/>
    <w:rsid w:val="00B74DDB"/>
    <w:rsid w:val="00B74FCE"/>
    <w:rsid w:val="00B76EC8"/>
    <w:rsid w:val="00B770A9"/>
    <w:rsid w:val="00B77716"/>
    <w:rsid w:val="00B806CB"/>
    <w:rsid w:val="00B82290"/>
    <w:rsid w:val="00B82457"/>
    <w:rsid w:val="00B825D5"/>
    <w:rsid w:val="00B82ABB"/>
    <w:rsid w:val="00B83A84"/>
    <w:rsid w:val="00B84783"/>
    <w:rsid w:val="00B84A62"/>
    <w:rsid w:val="00B86A47"/>
    <w:rsid w:val="00B872F1"/>
    <w:rsid w:val="00B90104"/>
    <w:rsid w:val="00B90160"/>
    <w:rsid w:val="00B90928"/>
    <w:rsid w:val="00B9120D"/>
    <w:rsid w:val="00B91BC1"/>
    <w:rsid w:val="00B9254F"/>
    <w:rsid w:val="00B9259E"/>
    <w:rsid w:val="00B92FD6"/>
    <w:rsid w:val="00B93334"/>
    <w:rsid w:val="00B93891"/>
    <w:rsid w:val="00B95815"/>
    <w:rsid w:val="00B9590C"/>
    <w:rsid w:val="00B96630"/>
    <w:rsid w:val="00B97D8A"/>
    <w:rsid w:val="00BA0C54"/>
    <w:rsid w:val="00BA11EA"/>
    <w:rsid w:val="00BA1CBA"/>
    <w:rsid w:val="00BA2E98"/>
    <w:rsid w:val="00BA3BF9"/>
    <w:rsid w:val="00BA3ECF"/>
    <w:rsid w:val="00BA4FA5"/>
    <w:rsid w:val="00BA687C"/>
    <w:rsid w:val="00BA7A88"/>
    <w:rsid w:val="00BB30A8"/>
    <w:rsid w:val="00BB3EE3"/>
    <w:rsid w:val="00BB4C8C"/>
    <w:rsid w:val="00BB5029"/>
    <w:rsid w:val="00BB538C"/>
    <w:rsid w:val="00BB6238"/>
    <w:rsid w:val="00BB6C76"/>
    <w:rsid w:val="00BB736C"/>
    <w:rsid w:val="00BB7CEC"/>
    <w:rsid w:val="00BB7E04"/>
    <w:rsid w:val="00BC1B49"/>
    <w:rsid w:val="00BC3B9F"/>
    <w:rsid w:val="00BC58B4"/>
    <w:rsid w:val="00BC5D75"/>
    <w:rsid w:val="00BC6E7F"/>
    <w:rsid w:val="00BC7293"/>
    <w:rsid w:val="00BD11D5"/>
    <w:rsid w:val="00BD1E4F"/>
    <w:rsid w:val="00BD1FB8"/>
    <w:rsid w:val="00BD1FBA"/>
    <w:rsid w:val="00BD23D5"/>
    <w:rsid w:val="00BD3057"/>
    <w:rsid w:val="00BD3B3F"/>
    <w:rsid w:val="00BD4CF3"/>
    <w:rsid w:val="00BD614A"/>
    <w:rsid w:val="00BD6C54"/>
    <w:rsid w:val="00BD7B84"/>
    <w:rsid w:val="00BE066A"/>
    <w:rsid w:val="00BE0F23"/>
    <w:rsid w:val="00BE1352"/>
    <w:rsid w:val="00BE32E0"/>
    <w:rsid w:val="00BE3D09"/>
    <w:rsid w:val="00BE4964"/>
    <w:rsid w:val="00BE49D3"/>
    <w:rsid w:val="00BE4A6B"/>
    <w:rsid w:val="00BE5795"/>
    <w:rsid w:val="00BE7014"/>
    <w:rsid w:val="00BE772C"/>
    <w:rsid w:val="00BE7A77"/>
    <w:rsid w:val="00BF0032"/>
    <w:rsid w:val="00BF0765"/>
    <w:rsid w:val="00BF0931"/>
    <w:rsid w:val="00BF0D2F"/>
    <w:rsid w:val="00BF1A38"/>
    <w:rsid w:val="00BF1EFF"/>
    <w:rsid w:val="00BF2164"/>
    <w:rsid w:val="00BF26FA"/>
    <w:rsid w:val="00BF30BA"/>
    <w:rsid w:val="00BF6AAB"/>
    <w:rsid w:val="00BF7BC9"/>
    <w:rsid w:val="00C011C5"/>
    <w:rsid w:val="00C01681"/>
    <w:rsid w:val="00C01A0D"/>
    <w:rsid w:val="00C043A0"/>
    <w:rsid w:val="00C05CE1"/>
    <w:rsid w:val="00C05F26"/>
    <w:rsid w:val="00C06D92"/>
    <w:rsid w:val="00C11C72"/>
    <w:rsid w:val="00C11F0B"/>
    <w:rsid w:val="00C12124"/>
    <w:rsid w:val="00C134A1"/>
    <w:rsid w:val="00C14059"/>
    <w:rsid w:val="00C15CE8"/>
    <w:rsid w:val="00C16B5D"/>
    <w:rsid w:val="00C17325"/>
    <w:rsid w:val="00C17D11"/>
    <w:rsid w:val="00C208DB"/>
    <w:rsid w:val="00C210AC"/>
    <w:rsid w:val="00C2252A"/>
    <w:rsid w:val="00C23A85"/>
    <w:rsid w:val="00C23F3C"/>
    <w:rsid w:val="00C25883"/>
    <w:rsid w:val="00C26DBC"/>
    <w:rsid w:val="00C2707F"/>
    <w:rsid w:val="00C30139"/>
    <w:rsid w:val="00C33E50"/>
    <w:rsid w:val="00C3464A"/>
    <w:rsid w:val="00C3467E"/>
    <w:rsid w:val="00C358C0"/>
    <w:rsid w:val="00C369C7"/>
    <w:rsid w:val="00C36BE3"/>
    <w:rsid w:val="00C36DCF"/>
    <w:rsid w:val="00C4102E"/>
    <w:rsid w:val="00C42AFD"/>
    <w:rsid w:val="00C42F28"/>
    <w:rsid w:val="00C44487"/>
    <w:rsid w:val="00C447BA"/>
    <w:rsid w:val="00C4553A"/>
    <w:rsid w:val="00C46932"/>
    <w:rsid w:val="00C4751F"/>
    <w:rsid w:val="00C50000"/>
    <w:rsid w:val="00C502D4"/>
    <w:rsid w:val="00C509FD"/>
    <w:rsid w:val="00C50A62"/>
    <w:rsid w:val="00C50B7D"/>
    <w:rsid w:val="00C52935"/>
    <w:rsid w:val="00C52DB5"/>
    <w:rsid w:val="00C531EC"/>
    <w:rsid w:val="00C534E1"/>
    <w:rsid w:val="00C535DD"/>
    <w:rsid w:val="00C54D95"/>
    <w:rsid w:val="00C54FA0"/>
    <w:rsid w:val="00C55052"/>
    <w:rsid w:val="00C55B1E"/>
    <w:rsid w:val="00C56910"/>
    <w:rsid w:val="00C56A8B"/>
    <w:rsid w:val="00C56B13"/>
    <w:rsid w:val="00C60512"/>
    <w:rsid w:val="00C60991"/>
    <w:rsid w:val="00C60A62"/>
    <w:rsid w:val="00C62201"/>
    <w:rsid w:val="00C62699"/>
    <w:rsid w:val="00C62AB4"/>
    <w:rsid w:val="00C62F3E"/>
    <w:rsid w:val="00C63395"/>
    <w:rsid w:val="00C633BC"/>
    <w:rsid w:val="00C6385C"/>
    <w:rsid w:val="00C63E15"/>
    <w:rsid w:val="00C64E5A"/>
    <w:rsid w:val="00C6567F"/>
    <w:rsid w:val="00C65988"/>
    <w:rsid w:val="00C6634C"/>
    <w:rsid w:val="00C66FAB"/>
    <w:rsid w:val="00C67D2E"/>
    <w:rsid w:val="00C67FC6"/>
    <w:rsid w:val="00C70B32"/>
    <w:rsid w:val="00C71A90"/>
    <w:rsid w:val="00C71CAA"/>
    <w:rsid w:val="00C72897"/>
    <w:rsid w:val="00C73591"/>
    <w:rsid w:val="00C743F6"/>
    <w:rsid w:val="00C74F63"/>
    <w:rsid w:val="00C75708"/>
    <w:rsid w:val="00C77789"/>
    <w:rsid w:val="00C779DB"/>
    <w:rsid w:val="00C77A49"/>
    <w:rsid w:val="00C77D7B"/>
    <w:rsid w:val="00C80066"/>
    <w:rsid w:val="00C8111D"/>
    <w:rsid w:val="00C81716"/>
    <w:rsid w:val="00C81F34"/>
    <w:rsid w:val="00C827AE"/>
    <w:rsid w:val="00C82D29"/>
    <w:rsid w:val="00C84E58"/>
    <w:rsid w:val="00C866FE"/>
    <w:rsid w:val="00C86780"/>
    <w:rsid w:val="00C86FFA"/>
    <w:rsid w:val="00C8751A"/>
    <w:rsid w:val="00C9140B"/>
    <w:rsid w:val="00C91721"/>
    <w:rsid w:val="00C92764"/>
    <w:rsid w:val="00C935F2"/>
    <w:rsid w:val="00C93C07"/>
    <w:rsid w:val="00C94124"/>
    <w:rsid w:val="00C94DDE"/>
    <w:rsid w:val="00CA0CDB"/>
    <w:rsid w:val="00CA235F"/>
    <w:rsid w:val="00CA34D0"/>
    <w:rsid w:val="00CA42A3"/>
    <w:rsid w:val="00CA44DF"/>
    <w:rsid w:val="00CA52C7"/>
    <w:rsid w:val="00CA5D44"/>
    <w:rsid w:val="00CB1060"/>
    <w:rsid w:val="00CB132C"/>
    <w:rsid w:val="00CB1408"/>
    <w:rsid w:val="00CB218A"/>
    <w:rsid w:val="00CB2900"/>
    <w:rsid w:val="00CB4583"/>
    <w:rsid w:val="00CB4B28"/>
    <w:rsid w:val="00CB512F"/>
    <w:rsid w:val="00CB6AE0"/>
    <w:rsid w:val="00CB6D12"/>
    <w:rsid w:val="00CC09C7"/>
    <w:rsid w:val="00CC0DB0"/>
    <w:rsid w:val="00CC262E"/>
    <w:rsid w:val="00CC3122"/>
    <w:rsid w:val="00CC32A4"/>
    <w:rsid w:val="00CC3B9F"/>
    <w:rsid w:val="00CC41C3"/>
    <w:rsid w:val="00CC5377"/>
    <w:rsid w:val="00CC57AA"/>
    <w:rsid w:val="00CC58A3"/>
    <w:rsid w:val="00CC58C3"/>
    <w:rsid w:val="00CC5F89"/>
    <w:rsid w:val="00CC66F7"/>
    <w:rsid w:val="00CC771F"/>
    <w:rsid w:val="00CD01FA"/>
    <w:rsid w:val="00CD2CCD"/>
    <w:rsid w:val="00CD3688"/>
    <w:rsid w:val="00CD468E"/>
    <w:rsid w:val="00CD5763"/>
    <w:rsid w:val="00CD6D25"/>
    <w:rsid w:val="00CD72F2"/>
    <w:rsid w:val="00CE0334"/>
    <w:rsid w:val="00CE04C8"/>
    <w:rsid w:val="00CE146A"/>
    <w:rsid w:val="00CE2B4C"/>
    <w:rsid w:val="00CE2B71"/>
    <w:rsid w:val="00CE34F5"/>
    <w:rsid w:val="00CE34FF"/>
    <w:rsid w:val="00CE3761"/>
    <w:rsid w:val="00CE39C0"/>
    <w:rsid w:val="00CE4668"/>
    <w:rsid w:val="00CE46F5"/>
    <w:rsid w:val="00CE4FC4"/>
    <w:rsid w:val="00CE5096"/>
    <w:rsid w:val="00CE50D6"/>
    <w:rsid w:val="00CE573F"/>
    <w:rsid w:val="00CE596F"/>
    <w:rsid w:val="00CE671D"/>
    <w:rsid w:val="00CE6DA1"/>
    <w:rsid w:val="00CE7FB6"/>
    <w:rsid w:val="00CF0A1E"/>
    <w:rsid w:val="00CF123D"/>
    <w:rsid w:val="00CF1418"/>
    <w:rsid w:val="00CF2233"/>
    <w:rsid w:val="00CF25F5"/>
    <w:rsid w:val="00CF2743"/>
    <w:rsid w:val="00CF30B6"/>
    <w:rsid w:val="00CF32E9"/>
    <w:rsid w:val="00CF3E6F"/>
    <w:rsid w:val="00CF4204"/>
    <w:rsid w:val="00CF456C"/>
    <w:rsid w:val="00CF643C"/>
    <w:rsid w:val="00CF6AD9"/>
    <w:rsid w:val="00CF78DA"/>
    <w:rsid w:val="00D01854"/>
    <w:rsid w:val="00D02708"/>
    <w:rsid w:val="00D03490"/>
    <w:rsid w:val="00D03778"/>
    <w:rsid w:val="00D03F44"/>
    <w:rsid w:val="00D04AB1"/>
    <w:rsid w:val="00D06074"/>
    <w:rsid w:val="00D0754D"/>
    <w:rsid w:val="00D0758E"/>
    <w:rsid w:val="00D07983"/>
    <w:rsid w:val="00D10604"/>
    <w:rsid w:val="00D11A5C"/>
    <w:rsid w:val="00D126A9"/>
    <w:rsid w:val="00D1276F"/>
    <w:rsid w:val="00D13673"/>
    <w:rsid w:val="00D13F80"/>
    <w:rsid w:val="00D143EA"/>
    <w:rsid w:val="00D1446E"/>
    <w:rsid w:val="00D14A70"/>
    <w:rsid w:val="00D164FD"/>
    <w:rsid w:val="00D16749"/>
    <w:rsid w:val="00D16921"/>
    <w:rsid w:val="00D16C26"/>
    <w:rsid w:val="00D17A2E"/>
    <w:rsid w:val="00D20ECC"/>
    <w:rsid w:val="00D20F3D"/>
    <w:rsid w:val="00D2153B"/>
    <w:rsid w:val="00D240AE"/>
    <w:rsid w:val="00D246DA"/>
    <w:rsid w:val="00D25F09"/>
    <w:rsid w:val="00D25F76"/>
    <w:rsid w:val="00D270BD"/>
    <w:rsid w:val="00D2735A"/>
    <w:rsid w:val="00D27B89"/>
    <w:rsid w:val="00D302D3"/>
    <w:rsid w:val="00D3036D"/>
    <w:rsid w:val="00D33414"/>
    <w:rsid w:val="00D3347C"/>
    <w:rsid w:val="00D33C89"/>
    <w:rsid w:val="00D34FDE"/>
    <w:rsid w:val="00D3571A"/>
    <w:rsid w:val="00D3598A"/>
    <w:rsid w:val="00D36931"/>
    <w:rsid w:val="00D37D53"/>
    <w:rsid w:val="00D4012A"/>
    <w:rsid w:val="00D406EA"/>
    <w:rsid w:val="00D40A96"/>
    <w:rsid w:val="00D4119B"/>
    <w:rsid w:val="00D43583"/>
    <w:rsid w:val="00D43C65"/>
    <w:rsid w:val="00D446FC"/>
    <w:rsid w:val="00D45020"/>
    <w:rsid w:val="00D454F0"/>
    <w:rsid w:val="00D47F57"/>
    <w:rsid w:val="00D52F2E"/>
    <w:rsid w:val="00D53ADC"/>
    <w:rsid w:val="00D53D1C"/>
    <w:rsid w:val="00D54644"/>
    <w:rsid w:val="00D549F9"/>
    <w:rsid w:val="00D5597E"/>
    <w:rsid w:val="00D55A29"/>
    <w:rsid w:val="00D55D04"/>
    <w:rsid w:val="00D56544"/>
    <w:rsid w:val="00D5758A"/>
    <w:rsid w:val="00D57A72"/>
    <w:rsid w:val="00D57C3E"/>
    <w:rsid w:val="00D6178B"/>
    <w:rsid w:val="00D628C4"/>
    <w:rsid w:val="00D62F28"/>
    <w:rsid w:val="00D63362"/>
    <w:rsid w:val="00D63CFA"/>
    <w:rsid w:val="00D644A6"/>
    <w:rsid w:val="00D6495B"/>
    <w:rsid w:val="00D64A58"/>
    <w:rsid w:val="00D6715D"/>
    <w:rsid w:val="00D671A7"/>
    <w:rsid w:val="00D67330"/>
    <w:rsid w:val="00D67BC0"/>
    <w:rsid w:val="00D70570"/>
    <w:rsid w:val="00D706D5"/>
    <w:rsid w:val="00D70B44"/>
    <w:rsid w:val="00D72042"/>
    <w:rsid w:val="00D73FF1"/>
    <w:rsid w:val="00D753BF"/>
    <w:rsid w:val="00D753FF"/>
    <w:rsid w:val="00D755B7"/>
    <w:rsid w:val="00D75893"/>
    <w:rsid w:val="00D7592E"/>
    <w:rsid w:val="00D7619D"/>
    <w:rsid w:val="00D768DE"/>
    <w:rsid w:val="00D76BF7"/>
    <w:rsid w:val="00D771C0"/>
    <w:rsid w:val="00D8018D"/>
    <w:rsid w:val="00D80968"/>
    <w:rsid w:val="00D80C61"/>
    <w:rsid w:val="00D81940"/>
    <w:rsid w:val="00D823FF"/>
    <w:rsid w:val="00D82A62"/>
    <w:rsid w:val="00D832D2"/>
    <w:rsid w:val="00D84A4A"/>
    <w:rsid w:val="00D8543E"/>
    <w:rsid w:val="00D866CA"/>
    <w:rsid w:val="00D87BF4"/>
    <w:rsid w:val="00D87EEF"/>
    <w:rsid w:val="00D91615"/>
    <w:rsid w:val="00D927ED"/>
    <w:rsid w:val="00D92EB3"/>
    <w:rsid w:val="00D93F09"/>
    <w:rsid w:val="00D9461D"/>
    <w:rsid w:val="00D94ADE"/>
    <w:rsid w:val="00D9515E"/>
    <w:rsid w:val="00D951B3"/>
    <w:rsid w:val="00D95573"/>
    <w:rsid w:val="00D95BE0"/>
    <w:rsid w:val="00D970BE"/>
    <w:rsid w:val="00D97780"/>
    <w:rsid w:val="00D97E0B"/>
    <w:rsid w:val="00DA1524"/>
    <w:rsid w:val="00DA2358"/>
    <w:rsid w:val="00DA3E10"/>
    <w:rsid w:val="00DA452D"/>
    <w:rsid w:val="00DA5BA1"/>
    <w:rsid w:val="00DA5D48"/>
    <w:rsid w:val="00DA6078"/>
    <w:rsid w:val="00DA7D60"/>
    <w:rsid w:val="00DA7E9B"/>
    <w:rsid w:val="00DB0364"/>
    <w:rsid w:val="00DB0865"/>
    <w:rsid w:val="00DB17D2"/>
    <w:rsid w:val="00DB2E66"/>
    <w:rsid w:val="00DB3232"/>
    <w:rsid w:val="00DB4070"/>
    <w:rsid w:val="00DB61D5"/>
    <w:rsid w:val="00DB6DC8"/>
    <w:rsid w:val="00DB6F25"/>
    <w:rsid w:val="00DB718E"/>
    <w:rsid w:val="00DB796B"/>
    <w:rsid w:val="00DB7AB8"/>
    <w:rsid w:val="00DB7ADF"/>
    <w:rsid w:val="00DC0254"/>
    <w:rsid w:val="00DC12B4"/>
    <w:rsid w:val="00DC19FC"/>
    <w:rsid w:val="00DC26CD"/>
    <w:rsid w:val="00DC2C2C"/>
    <w:rsid w:val="00DC3A0B"/>
    <w:rsid w:val="00DC3B9B"/>
    <w:rsid w:val="00DC50BA"/>
    <w:rsid w:val="00DC6F66"/>
    <w:rsid w:val="00DD10C2"/>
    <w:rsid w:val="00DD128A"/>
    <w:rsid w:val="00DD2658"/>
    <w:rsid w:val="00DD2B51"/>
    <w:rsid w:val="00DD336E"/>
    <w:rsid w:val="00DD3478"/>
    <w:rsid w:val="00DD34F2"/>
    <w:rsid w:val="00DD3F10"/>
    <w:rsid w:val="00DD5A00"/>
    <w:rsid w:val="00DD7250"/>
    <w:rsid w:val="00DD7409"/>
    <w:rsid w:val="00DD7824"/>
    <w:rsid w:val="00DD7C39"/>
    <w:rsid w:val="00DD7E1B"/>
    <w:rsid w:val="00DE0BD5"/>
    <w:rsid w:val="00DE32D9"/>
    <w:rsid w:val="00DE3F39"/>
    <w:rsid w:val="00DE4297"/>
    <w:rsid w:val="00DE484B"/>
    <w:rsid w:val="00DE542A"/>
    <w:rsid w:val="00DE5EB3"/>
    <w:rsid w:val="00DE6137"/>
    <w:rsid w:val="00DE713D"/>
    <w:rsid w:val="00DF08B1"/>
    <w:rsid w:val="00DF14F4"/>
    <w:rsid w:val="00DF2D71"/>
    <w:rsid w:val="00DF37A8"/>
    <w:rsid w:val="00DF4458"/>
    <w:rsid w:val="00DF5494"/>
    <w:rsid w:val="00DF5B6E"/>
    <w:rsid w:val="00DF5EF3"/>
    <w:rsid w:val="00DF6021"/>
    <w:rsid w:val="00DF6461"/>
    <w:rsid w:val="00DF7490"/>
    <w:rsid w:val="00DF7C25"/>
    <w:rsid w:val="00DF7CEB"/>
    <w:rsid w:val="00DF7FF7"/>
    <w:rsid w:val="00E00479"/>
    <w:rsid w:val="00E006B1"/>
    <w:rsid w:val="00E01B98"/>
    <w:rsid w:val="00E02538"/>
    <w:rsid w:val="00E02D03"/>
    <w:rsid w:val="00E02DD1"/>
    <w:rsid w:val="00E03080"/>
    <w:rsid w:val="00E036B6"/>
    <w:rsid w:val="00E03862"/>
    <w:rsid w:val="00E03C6A"/>
    <w:rsid w:val="00E03D70"/>
    <w:rsid w:val="00E03F30"/>
    <w:rsid w:val="00E056E6"/>
    <w:rsid w:val="00E05C9D"/>
    <w:rsid w:val="00E0603B"/>
    <w:rsid w:val="00E07032"/>
    <w:rsid w:val="00E0746F"/>
    <w:rsid w:val="00E07DB7"/>
    <w:rsid w:val="00E100B7"/>
    <w:rsid w:val="00E10305"/>
    <w:rsid w:val="00E10D85"/>
    <w:rsid w:val="00E119EF"/>
    <w:rsid w:val="00E11E33"/>
    <w:rsid w:val="00E127FE"/>
    <w:rsid w:val="00E13180"/>
    <w:rsid w:val="00E13455"/>
    <w:rsid w:val="00E13748"/>
    <w:rsid w:val="00E13F62"/>
    <w:rsid w:val="00E13F6C"/>
    <w:rsid w:val="00E149AB"/>
    <w:rsid w:val="00E14B8B"/>
    <w:rsid w:val="00E14EBE"/>
    <w:rsid w:val="00E15C7D"/>
    <w:rsid w:val="00E1680E"/>
    <w:rsid w:val="00E17282"/>
    <w:rsid w:val="00E175BD"/>
    <w:rsid w:val="00E203A1"/>
    <w:rsid w:val="00E20C04"/>
    <w:rsid w:val="00E21B15"/>
    <w:rsid w:val="00E22D03"/>
    <w:rsid w:val="00E22DF0"/>
    <w:rsid w:val="00E2367B"/>
    <w:rsid w:val="00E23C0E"/>
    <w:rsid w:val="00E267C7"/>
    <w:rsid w:val="00E26FB2"/>
    <w:rsid w:val="00E27900"/>
    <w:rsid w:val="00E27952"/>
    <w:rsid w:val="00E27E4E"/>
    <w:rsid w:val="00E30C4C"/>
    <w:rsid w:val="00E31B28"/>
    <w:rsid w:val="00E322A8"/>
    <w:rsid w:val="00E33386"/>
    <w:rsid w:val="00E34D21"/>
    <w:rsid w:val="00E36226"/>
    <w:rsid w:val="00E362DC"/>
    <w:rsid w:val="00E37038"/>
    <w:rsid w:val="00E374A2"/>
    <w:rsid w:val="00E374D0"/>
    <w:rsid w:val="00E37842"/>
    <w:rsid w:val="00E409CB"/>
    <w:rsid w:val="00E41EDF"/>
    <w:rsid w:val="00E43A02"/>
    <w:rsid w:val="00E43D00"/>
    <w:rsid w:val="00E44B88"/>
    <w:rsid w:val="00E44EAE"/>
    <w:rsid w:val="00E44F71"/>
    <w:rsid w:val="00E45568"/>
    <w:rsid w:val="00E46ADC"/>
    <w:rsid w:val="00E47196"/>
    <w:rsid w:val="00E51585"/>
    <w:rsid w:val="00E54010"/>
    <w:rsid w:val="00E55825"/>
    <w:rsid w:val="00E5594A"/>
    <w:rsid w:val="00E5646C"/>
    <w:rsid w:val="00E566E4"/>
    <w:rsid w:val="00E5712F"/>
    <w:rsid w:val="00E57584"/>
    <w:rsid w:val="00E60433"/>
    <w:rsid w:val="00E606BC"/>
    <w:rsid w:val="00E60F6D"/>
    <w:rsid w:val="00E61201"/>
    <w:rsid w:val="00E614D7"/>
    <w:rsid w:val="00E62117"/>
    <w:rsid w:val="00E62D70"/>
    <w:rsid w:val="00E633FF"/>
    <w:rsid w:val="00E6355B"/>
    <w:rsid w:val="00E6366D"/>
    <w:rsid w:val="00E6370C"/>
    <w:rsid w:val="00E63846"/>
    <w:rsid w:val="00E641C9"/>
    <w:rsid w:val="00E64953"/>
    <w:rsid w:val="00E6520B"/>
    <w:rsid w:val="00E66423"/>
    <w:rsid w:val="00E702ED"/>
    <w:rsid w:val="00E72445"/>
    <w:rsid w:val="00E724D3"/>
    <w:rsid w:val="00E72DEB"/>
    <w:rsid w:val="00E734C4"/>
    <w:rsid w:val="00E73F84"/>
    <w:rsid w:val="00E745E3"/>
    <w:rsid w:val="00E75EEC"/>
    <w:rsid w:val="00E7621E"/>
    <w:rsid w:val="00E76F0D"/>
    <w:rsid w:val="00E7742F"/>
    <w:rsid w:val="00E8017C"/>
    <w:rsid w:val="00E8050A"/>
    <w:rsid w:val="00E80DF5"/>
    <w:rsid w:val="00E80E7F"/>
    <w:rsid w:val="00E82022"/>
    <w:rsid w:val="00E829A4"/>
    <w:rsid w:val="00E82A6F"/>
    <w:rsid w:val="00E82DE1"/>
    <w:rsid w:val="00E82F3A"/>
    <w:rsid w:val="00E84106"/>
    <w:rsid w:val="00E8414D"/>
    <w:rsid w:val="00E845B4"/>
    <w:rsid w:val="00E845FD"/>
    <w:rsid w:val="00E84DB2"/>
    <w:rsid w:val="00E84EA2"/>
    <w:rsid w:val="00E8554B"/>
    <w:rsid w:val="00E857D5"/>
    <w:rsid w:val="00E85ACC"/>
    <w:rsid w:val="00E865FD"/>
    <w:rsid w:val="00E87A7F"/>
    <w:rsid w:val="00E9298B"/>
    <w:rsid w:val="00E92EA6"/>
    <w:rsid w:val="00E9438F"/>
    <w:rsid w:val="00E953A1"/>
    <w:rsid w:val="00E957A2"/>
    <w:rsid w:val="00E96A81"/>
    <w:rsid w:val="00E97146"/>
    <w:rsid w:val="00E978A9"/>
    <w:rsid w:val="00EA03BA"/>
    <w:rsid w:val="00EA0A36"/>
    <w:rsid w:val="00EA1CB8"/>
    <w:rsid w:val="00EA35D4"/>
    <w:rsid w:val="00EA464B"/>
    <w:rsid w:val="00EA5C5C"/>
    <w:rsid w:val="00EA5E4A"/>
    <w:rsid w:val="00EA74D6"/>
    <w:rsid w:val="00EA7A02"/>
    <w:rsid w:val="00EB046C"/>
    <w:rsid w:val="00EB0CA3"/>
    <w:rsid w:val="00EB0D22"/>
    <w:rsid w:val="00EB2282"/>
    <w:rsid w:val="00EB39FA"/>
    <w:rsid w:val="00EB3AA5"/>
    <w:rsid w:val="00EB5E4F"/>
    <w:rsid w:val="00EB7432"/>
    <w:rsid w:val="00EB7442"/>
    <w:rsid w:val="00EC00DE"/>
    <w:rsid w:val="00EC016D"/>
    <w:rsid w:val="00EC0407"/>
    <w:rsid w:val="00EC15DA"/>
    <w:rsid w:val="00EC23E5"/>
    <w:rsid w:val="00EC2610"/>
    <w:rsid w:val="00EC28E7"/>
    <w:rsid w:val="00EC33DD"/>
    <w:rsid w:val="00EC3ADD"/>
    <w:rsid w:val="00EC4194"/>
    <w:rsid w:val="00EC4B5A"/>
    <w:rsid w:val="00EC4CB2"/>
    <w:rsid w:val="00EC4E32"/>
    <w:rsid w:val="00EC531A"/>
    <w:rsid w:val="00EC607B"/>
    <w:rsid w:val="00EC6717"/>
    <w:rsid w:val="00EC6F06"/>
    <w:rsid w:val="00EC7A62"/>
    <w:rsid w:val="00ED26CC"/>
    <w:rsid w:val="00ED2D34"/>
    <w:rsid w:val="00ED5360"/>
    <w:rsid w:val="00ED6F8F"/>
    <w:rsid w:val="00EE0760"/>
    <w:rsid w:val="00EE139F"/>
    <w:rsid w:val="00EE2814"/>
    <w:rsid w:val="00EE3176"/>
    <w:rsid w:val="00EE405B"/>
    <w:rsid w:val="00EE422C"/>
    <w:rsid w:val="00EE4A4E"/>
    <w:rsid w:val="00EE4A77"/>
    <w:rsid w:val="00EE4E75"/>
    <w:rsid w:val="00EE5872"/>
    <w:rsid w:val="00EE5AE9"/>
    <w:rsid w:val="00EE5CEE"/>
    <w:rsid w:val="00EF0D3F"/>
    <w:rsid w:val="00EF1685"/>
    <w:rsid w:val="00EF18BA"/>
    <w:rsid w:val="00EF2108"/>
    <w:rsid w:val="00EF2BF4"/>
    <w:rsid w:val="00EF5B5C"/>
    <w:rsid w:val="00EF6228"/>
    <w:rsid w:val="00EF6266"/>
    <w:rsid w:val="00EF7F9D"/>
    <w:rsid w:val="00F00D15"/>
    <w:rsid w:val="00F01493"/>
    <w:rsid w:val="00F014BD"/>
    <w:rsid w:val="00F02AA8"/>
    <w:rsid w:val="00F03218"/>
    <w:rsid w:val="00F0393B"/>
    <w:rsid w:val="00F03A43"/>
    <w:rsid w:val="00F03BFC"/>
    <w:rsid w:val="00F03D54"/>
    <w:rsid w:val="00F0475A"/>
    <w:rsid w:val="00F0496C"/>
    <w:rsid w:val="00F07387"/>
    <w:rsid w:val="00F10B38"/>
    <w:rsid w:val="00F10C2B"/>
    <w:rsid w:val="00F11348"/>
    <w:rsid w:val="00F118C3"/>
    <w:rsid w:val="00F11C85"/>
    <w:rsid w:val="00F11E7A"/>
    <w:rsid w:val="00F134A7"/>
    <w:rsid w:val="00F137D9"/>
    <w:rsid w:val="00F139B7"/>
    <w:rsid w:val="00F13E71"/>
    <w:rsid w:val="00F1407C"/>
    <w:rsid w:val="00F1487E"/>
    <w:rsid w:val="00F1489D"/>
    <w:rsid w:val="00F14AD3"/>
    <w:rsid w:val="00F1618E"/>
    <w:rsid w:val="00F1695E"/>
    <w:rsid w:val="00F16A50"/>
    <w:rsid w:val="00F16FE4"/>
    <w:rsid w:val="00F1749F"/>
    <w:rsid w:val="00F17BB9"/>
    <w:rsid w:val="00F210B4"/>
    <w:rsid w:val="00F23EDF"/>
    <w:rsid w:val="00F26722"/>
    <w:rsid w:val="00F272D7"/>
    <w:rsid w:val="00F3019A"/>
    <w:rsid w:val="00F31699"/>
    <w:rsid w:val="00F319E7"/>
    <w:rsid w:val="00F31ACC"/>
    <w:rsid w:val="00F32B85"/>
    <w:rsid w:val="00F32D0B"/>
    <w:rsid w:val="00F3306E"/>
    <w:rsid w:val="00F33785"/>
    <w:rsid w:val="00F34422"/>
    <w:rsid w:val="00F344F6"/>
    <w:rsid w:val="00F346D5"/>
    <w:rsid w:val="00F346EA"/>
    <w:rsid w:val="00F34F27"/>
    <w:rsid w:val="00F35432"/>
    <w:rsid w:val="00F35ED1"/>
    <w:rsid w:val="00F36016"/>
    <w:rsid w:val="00F40AFF"/>
    <w:rsid w:val="00F40B05"/>
    <w:rsid w:val="00F40D59"/>
    <w:rsid w:val="00F42CBB"/>
    <w:rsid w:val="00F43456"/>
    <w:rsid w:val="00F442D0"/>
    <w:rsid w:val="00F45242"/>
    <w:rsid w:val="00F4586B"/>
    <w:rsid w:val="00F45C14"/>
    <w:rsid w:val="00F46153"/>
    <w:rsid w:val="00F46537"/>
    <w:rsid w:val="00F4660C"/>
    <w:rsid w:val="00F47115"/>
    <w:rsid w:val="00F4744C"/>
    <w:rsid w:val="00F479B3"/>
    <w:rsid w:val="00F50009"/>
    <w:rsid w:val="00F52677"/>
    <w:rsid w:val="00F52F1B"/>
    <w:rsid w:val="00F5523B"/>
    <w:rsid w:val="00F5614F"/>
    <w:rsid w:val="00F561E6"/>
    <w:rsid w:val="00F56464"/>
    <w:rsid w:val="00F56EBB"/>
    <w:rsid w:val="00F5780D"/>
    <w:rsid w:val="00F61A97"/>
    <w:rsid w:val="00F61D17"/>
    <w:rsid w:val="00F63843"/>
    <w:rsid w:val="00F642A7"/>
    <w:rsid w:val="00F64533"/>
    <w:rsid w:val="00F64D76"/>
    <w:rsid w:val="00F64F3F"/>
    <w:rsid w:val="00F650B7"/>
    <w:rsid w:val="00F65E7D"/>
    <w:rsid w:val="00F67712"/>
    <w:rsid w:val="00F67898"/>
    <w:rsid w:val="00F7005D"/>
    <w:rsid w:val="00F7107C"/>
    <w:rsid w:val="00F713DA"/>
    <w:rsid w:val="00F719BF"/>
    <w:rsid w:val="00F71A08"/>
    <w:rsid w:val="00F72A7E"/>
    <w:rsid w:val="00F72CC5"/>
    <w:rsid w:val="00F749F0"/>
    <w:rsid w:val="00F754D8"/>
    <w:rsid w:val="00F759EA"/>
    <w:rsid w:val="00F75A9F"/>
    <w:rsid w:val="00F77AA3"/>
    <w:rsid w:val="00F80105"/>
    <w:rsid w:val="00F80190"/>
    <w:rsid w:val="00F80264"/>
    <w:rsid w:val="00F80289"/>
    <w:rsid w:val="00F80A91"/>
    <w:rsid w:val="00F810DE"/>
    <w:rsid w:val="00F81492"/>
    <w:rsid w:val="00F8186E"/>
    <w:rsid w:val="00F81DC8"/>
    <w:rsid w:val="00F81E96"/>
    <w:rsid w:val="00F82C51"/>
    <w:rsid w:val="00F830A6"/>
    <w:rsid w:val="00F830EC"/>
    <w:rsid w:val="00F83807"/>
    <w:rsid w:val="00F85061"/>
    <w:rsid w:val="00F8588E"/>
    <w:rsid w:val="00F86E23"/>
    <w:rsid w:val="00F86F6D"/>
    <w:rsid w:val="00F903B2"/>
    <w:rsid w:val="00F90639"/>
    <w:rsid w:val="00F90BCC"/>
    <w:rsid w:val="00F92A2C"/>
    <w:rsid w:val="00F9362E"/>
    <w:rsid w:val="00F93742"/>
    <w:rsid w:val="00F95272"/>
    <w:rsid w:val="00F954F1"/>
    <w:rsid w:val="00F95D23"/>
    <w:rsid w:val="00F9672C"/>
    <w:rsid w:val="00F97AC8"/>
    <w:rsid w:val="00FA075B"/>
    <w:rsid w:val="00FA1FA3"/>
    <w:rsid w:val="00FA2F4E"/>
    <w:rsid w:val="00FA2F6B"/>
    <w:rsid w:val="00FA2FFE"/>
    <w:rsid w:val="00FA3513"/>
    <w:rsid w:val="00FA3530"/>
    <w:rsid w:val="00FA48CB"/>
    <w:rsid w:val="00FA4B88"/>
    <w:rsid w:val="00FA4F5F"/>
    <w:rsid w:val="00FA5622"/>
    <w:rsid w:val="00FA7AAE"/>
    <w:rsid w:val="00FB2D8E"/>
    <w:rsid w:val="00FB3748"/>
    <w:rsid w:val="00FB44F0"/>
    <w:rsid w:val="00FB4C8F"/>
    <w:rsid w:val="00FB59AF"/>
    <w:rsid w:val="00FC11CB"/>
    <w:rsid w:val="00FC2676"/>
    <w:rsid w:val="00FC2AF9"/>
    <w:rsid w:val="00FC2CEA"/>
    <w:rsid w:val="00FC3982"/>
    <w:rsid w:val="00FC3C10"/>
    <w:rsid w:val="00FC58DD"/>
    <w:rsid w:val="00FC58E9"/>
    <w:rsid w:val="00FC6725"/>
    <w:rsid w:val="00FD024B"/>
    <w:rsid w:val="00FD1B2F"/>
    <w:rsid w:val="00FD25B1"/>
    <w:rsid w:val="00FD34C8"/>
    <w:rsid w:val="00FD3BED"/>
    <w:rsid w:val="00FD4198"/>
    <w:rsid w:val="00FD4691"/>
    <w:rsid w:val="00FD4EAB"/>
    <w:rsid w:val="00FE0315"/>
    <w:rsid w:val="00FE08A2"/>
    <w:rsid w:val="00FE13B4"/>
    <w:rsid w:val="00FE15E4"/>
    <w:rsid w:val="00FE1EAE"/>
    <w:rsid w:val="00FE20C2"/>
    <w:rsid w:val="00FE25B7"/>
    <w:rsid w:val="00FE2C92"/>
    <w:rsid w:val="00FE2EF4"/>
    <w:rsid w:val="00FE382C"/>
    <w:rsid w:val="00FE3A0E"/>
    <w:rsid w:val="00FE437F"/>
    <w:rsid w:val="00FE458B"/>
    <w:rsid w:val="00FE50A1"/>
    <w:rsid w:val="00FE52E2"/>
    <w:rsid w:val="00FE5CBE"/>
    <w:rsid w:val="00FE5E57"/>
    <w:rsid w:val="00FE5EBE"/>
    <w:rsid w:val="00FE74D7"/>
    <w:rsid w:val="00FF0583"/>
    <w:rsid w:val="00FF27D9"/>
    <w:rsid w:val="00FF3313"/>
    <w:rsid w:val="00FF350D"/>
    <w:rsid w:val="036A333F"/>
    <w:rsid w:val="05F228E2"/>
    <w:rsid w:val="091343F8"/>
    <w:rsid w:val="091A3105"/>
    <w:rsid w:val="103B60C7"/>
    <w:rsid w:val="1C9366B7"/>
    <w:rsid w:val="1D274D79"/>
    <w:rsid w:val="1EBD15A5"/>
    <w:rsid w:val="211B0713"/>
    <w:rsid w:val="230A2283"/>
    <w:rsid w:val="287574FD"/>
    <w:rsid w:val="2BFA0F0D"/>
    <w:rsid w:val="300D20E3"/>
    <w:rsid w:val="30515682"/>
    <w:rsid w:val="32274521"/>
    <w:rsid w:val="3DF45431"/>
    <w:rsid w:val="3EF142B8"/>
    <w:rsid w:val="49BC3715"/>
    <w:rsid w:val="49F7299F"/>
    <w:rsid w:val="5613612D"/>
    <w:rsid w:val="5F557B76"/>
    <w:rsid w:val="617D774C"/>
    <w:rsid w:val="61A55A20"/>
    <w:rsid w:val="6231220D"/>
    <w:rsid w:val="66763972"/>
    <w:rsid w:val="6B171331"/>
    <w:rsid w:val="6CA65E33"/>
    <w:rsid w:val="6DE77635"/>
    <w:rsid w:val="6EC1476E"/>
    <w:rsid w:val="7721307F"/>
    <w:rsid w:val="7D997D1A"/>
    <w:rsid w:val="7FF9F95A"/>
    <w:rsid w:val="AB7FD0AB"/>
    <w:rsid w:val="BFBF8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38"/>
    <w:semiHidden/>
    <w:unhideWhenUsed/>
    <w:qFormat/>
    <w:uiPriority w:val="99"/>
    <w:rPr>
      <w:sz w:val="18"/>
      <w:szCs w:val="18"/>
    </w:rPr>
  </w:style>
  <w:style w:type="paragraph" w:styleId="4">
    <w:name w:val="footer"/>
    <w:basedOn w:val="1"/>
    <w:link w:val="36"/>
    <w:unhideWhenUsed/>
    <w:qFormat/>
    <w:uiPriority w:val="99"/>
    <w:pPr>
      <w:tabs>
        <w:tab w:val="center" w:pos="4153"/>
        <w:tab w:val="right" w:pos="8306"/>
      </w:tabs>
      <w:snapToGrid w:val="0"/>
      <w:jc w:val="left"/>
    </w:pPr>
    <w:rPr>
      <w:sz w:val="18"/>
      <w:szCs w:val="18"/>
    </w:rPr>
  </w:style>
  <w:style w:type="paragraph" w:styleId="5">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tabs>
        <w:tab w:val="right" w:leader="dot" w:pos="9241"/>
      </w:tabs>
      <w:spacing w:beforeLines="25" w:afterLines="25"/>
      <w:jc w:val="left"/>
    </w:pPr>
    <w:rPr>
      <w:rFonts w:ascii="宋体" w:hAnsi="Times New Roman" w:eastAsia="宋体" w:cs="Times New Roman"/>
      <w:szCs w:val="24"/>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99"/>
    <w:rPr>
      <w:color w:val="0000FF"/>
      <w:u w:val="single"/>
      <w:lang w:val="en-US" w:eastAsia="zh-CN"/>
    </w:rPr>
  </w:style>
  <w:style w:type="character" w:customStyle="1" w:styleId="12">
    <w:name w:val="发布"/>
    <w:basedOn w:val="10"/>
    <w:qFormat/>
    <w:uiPriority w:val="0"/>
    <w:rPr>
      <w:rFonts w:ascii="黑体" w:eastAsia="黑体"/>
      <w:spacing w:val="85"/>
      <w:position w:val="3"/>
      <w:sz w:val="28"/>
    </w:rPr>
  </w:style>
  <w:style w:type="character" w:customStyle="1" w:styleId="13">
    <w:name w:val="段 Char"/>
    <w:basedOn w:val="10"/>
    <w:link w:val="14"/>
    <w:qFormat/>
    <w:uiPriority w:val="0"/>
    <w:rPr>
      <w:rFonts w:ascii="宋体"/>
    </w:rPr>
  </w:style>
  <w:style w:type="paragraph" w:customStyle="1" w:styleId="14">
    <w:name w:val="段"/>
    <w:link w:val="13"/>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15">
    <w:name w:val="封面标准名称"/>
    <w:qFormat/>
    <w:uiPriority w:val="0"/>
    <w:pPr>
      <w:framePr w:w="9639" w:h="6917" w:hRule="exact" w:wrap="auto" w:vAnchor="page" w:hAnchor="page" w:xAlign="center" w:y="6409" w:anchorLock="1"/>
      <w:widowControl w:val="0"/>
      <w:spacing w:line="680" w:lineRule="exact"/>
      <w:jc w:val="center"/>
      <w:textAlignment w:val="center"/>
    </w:pPr>
    <w:rPr>
      <w:rFonts w:ascii="黑体" w:hAnsi="Times New Roman" w:eastAsia="黑体" w:cs="Times New Roman"/>
      <w:sz w:val="52"/>
      <w:szCs w:val="24"/>
      <w:lang w:val="en-US" w:eastAsia="zh-CN" w:bidi="ar-SA"/>
    </w:rPr>
  </w:style>
  <w:style w:type="paragraph" w:customStyle="1" w:styleId="16">
    <w:name w:val="标准书脚_奇数页"/>
    <w:qFormat/>
    <w:uiPriority w:val="0"/>
    <w:pPr>
      <w:spacing w:before="120"/>
      <w:ind w:right="198"/>
      <w:jc w:val="right"/>
    </w:pPr>
    <w:rPr>
      <w:rFonts w:ascii="宋体" w:hAnsi="Times New Roman" w:eastAsia="宋体" w:cs="Times New Roman"/>
      <w:sz w:val="18"/>
      <w:szCs w:val="24"/>
      <w:lang w:val="en-US" w:eastAsia="zh-CN" w:bidi="ar-SA"/>
    </w:rPr>
  </w:style>
  <w:style w:type="paragraph" w:customStyle="1" w:styleId="17">
    <w:name w:val="前言、引言标题"/>
    <w:next w:val="14"/>
    <w:qFormat/>
    <w:uiPriority w:val="0"/>
    <w:pPr>
      <w:keepNext/>
      <w:pageBreakBefore/>
      <w:shd w:val="clear" w:color="FFFFFF" w:fill="FFFFFF"/>
      <w:spacing w:before="640" w:after="560"/>
      <w:jc w:val="center"/>
      <w:outlineLvl w:val="0"/>
    </w:pPr>
    <w:rPr>
      <w:rFonts w:ascii="黑体" w:hAnsi="Times New Roman" w:eastAsia="黑体" w:cs="Times New Roman"/>
      <w:sz w:val="32"/>
      <w:szCs w:val="24"/>
      <w:lang w:val="en-US" w:eastAsia="zh-CN" w:bidi="ar-SA"/>
    </w:rPr>
  </w:style>
  <w:style w:type="paragraph" w:customStyle="1" w:styleId="18">
    <w:name w:val="封面标准号2"/>
    <w:qFormat/>
    <w:uiPriority w:val="0"/>
    <w:pPr>
      <w:framePr w:w="9140" w:h="1242" w:hRule="exact" w:hSpace="284" w:wrap="auto" w:vAnchor="page" w:hAnchor="page" w:x="1646" w:y="2911" w:anchorLock="1"/>
      <w:spacing w:before="357" w:line="280" w:lineRule="exact"/>
      <w:jc w:val="right"/>
    </w:pPr>
    <w:rPr>
      <w:rFonts w:ascii="黑体" w:hAnsi="Times New Roman" w:eastAsia="黑体" w:cs="Times New Roman"/>
      <w:sz w:val="28"/>
      <w:szCs w:val="24"/>
      <w:lang w:val="en-US" w:eastAsia="zh-CN" w:bidi="ar-SA"/>
    </w:rPr>
  </w:style>
  <w:style w:type="paragraph" w:customStyle="1" w:styleId="19">
    <w:name w:val="文献分类号"/>
    <w:qFormat/>
    <w:uiPriority w:val="0"/>
    <w:pPr>
      <w:framePr w:hSpace="180" w:vSpace="180" w:wrap="auto" w:vAnchor="margin" w:hAnchor="margin" w:y="2" w:anchorLock="1"/>
      <w:widowControl w:val="0"/>
      <w:textAlignment w:val="center"/>
    </w:pPr>
    <w:rPr>
      <w:rFonts w:ascii="黑体" w:hAnsi="Times New Roman" w:eastAsia="黑体" w:cs="Times New Roman"/>
      <w:sz w:val="21"/>
      <w:szCs w:val="24"/>
      <w:lang w:val="en-US" w:eastAsia="zh-CN" w:bidi="ar-SA"/>
    </w:rPr>
  </w:style>
  <w:style w:type="paragraph" w:customStyle="1" w:styleId="20">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4"/>
    </w:rPr>
  </w:style>
  <w:style w:type="paragraph" w:customStyle="1" w:styleId="21">
    <w:name w:val="其他标准称谓"/>
    <w:next w:val="1"/>
    <w:qFormat/>
    <w:uiPriority w:val="0"/>
    <w:pPr>
      <w:framePr w:hSpace="181" w:vSpace="181" w:wrap="auto" w:vAnchor="page" w:hAnchor="page" w:x="1420" w:y="2287" w:anchorLock="1"/>
      <w:spacing w:line="240" w:lineRule="atLeast"/>
      <w:jc w:val="distribute"/>
    </w:pPr>
    <w:rPr>
      <w:rFonts w:ascii="黑体" w:hAnsi="宋体" w:eastAsia="黑体" w:cs="Times New Roman"/>
      <w:spacing w:val="-40"/>
      <w:sz w:val="48"/>
      <w:szCs w:val="24"/>
      <w:lang w:val="en-US" w:eastAsia="zh-CN" w:bidi="ar-SA"/>
    </w:rPr>
  </w:style>
  <w:style w:type="paragraph" w:customStyle="1" w:styleId="22">
    <w:name w:val="封面标准文稿类别"/>
    <w:basedOn w:val="23"/>
    <w:qFormat/>
    <w:uiPriority w:val="0"/>
    <w:pPr>
      <w:framePr/>
      <w:spacing w:after="160" w:line="240" w:lineRule="auto"/>
    </w:pPr>
    <w:rPr>
      <w:sz w:val="24"/>
    </w:rPr>
  </w:style>
  <w:style w:type="paragraph" w:customStyle="1" w:styleId="23">
    <w:name w:val="封面一致性程度标识"/>
    <w:basedOn w:val="24"/>
    <w:qFormat/>
    <w:uiPriority w:val="0"/>
    <w:pPr>
      <w:framePr/>
      <w:spacing w:before="440"/>
    </w:pPr>
    <w:rPr>
      <w:rFonts w:ascii="宋体" w:eastAsia="宋体"/>
    </w:rPr>
  </w:style>
  <w:style w:type="paragraph" w:customStyle="1" w:styleId="24">
    <w:name w:val="封面标准英文名称"/>
    <w:basedOn w:val="15"/>
    <w:qFormat/>
    <w:uiPriority w:val="0"/>
    <w:pPr>
      <w:framePr/>
      <w:spacing w:before="370" w:line="400" w:lineRule="exact"/>
    </w:pPr>
    <w:rPr>
      <w:rFonts w:ascii="Times New Roman"/>
      <w:sz w:val="28"/>
    </w:rPr>
  </w:style>
  <w:style w:type="paragraph" w:customStyle="1" w:styleId="25">
    <w:name w:val="终结线"/>
    <w:basedOn w:val="1"/>
    <w:qFormat/>
    <w:uiPriority w:val="0"/>
    <w:pPr>
      <w:framePr w:hSpace="181" w:vSpace="181" w:wrap="auto" w:vAnchor="text" w:hAnchor="margin" w:xAlign="center" w:y="286"/>
    </w:pPr>
    <w:rPr>
      <w:rFonts w:ascii="Times New Roman" w:hAnsi="Times New Roman" w:eastAsia="宋体" w:cs="Times New Roman"/>
      <w:szCs w:val="24"/>
    </w:rPr>
  </w:style>
  <w:style w:type="paragraph" w:customStyle="1" w:styleId="2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4"/>
      <w:lang w:val="en-US" w:eastAsia="zh-CN" w:bidi="ar-SA"/>
    </w:rPr>
  </w:style>
  <w:style w:type="paragraph" w:customStyle="1" w:styleId="27">
    <w:name w:val="章标题"/>
    <w:next w:val="14"/>
    <w:qFormat/>
    <w:uiPriority w:val="0"/>
    <w:pPr>
      <w:spacing w:beforeLines="100" w:afterLines="100"/>
      <w:jc w:val="both"/>
      <w:outlineLvl w:val="1"/>
    </w:pPr>
    <w:rPr>
      <w:rFonts w:ascii="黑体" w:hAnsi="Times New Roman" w:eastAsia="黑体" w:cs="Times New Roman"/>
      <w:sz w:val="21"/>
      <w:szCs w:val="24"/>
      <w:lang w:val="en-US" w:eastAsia="zh-CN" w:bidi="ar-SA"/>
    </w:rPr>
  </w:style>
  <w:style w:type="paragraph" w:customStyle="1" w:styleId="28">
    <w:name w:val="一级条标题"/>
    <w:next w:val="14"/>
    <w:qFormat/>
    <w:uiPriority w:val="0"/>
    <w:pPr>
      <w:spacing w:beforeLines="50" w:afterLines="50"/>
      <w:outlineLvl w:val="2"/>
    </w:pPr>
    <w:rPr>
      <w:rFonts w:ascii="黑体" w:hAnsi="Times New Roman" w:eastAsia="黑体" w:cs="Times New Roman"/>
      <w:sz w:val="21"/>
      <w:szCs w:val="24"/>
      <w:lang w:val="en-US" w:eastAsia="zh-CN" w:bidi="ar-SA"/>
    </w:rPr>
  </w:style>
  <w:style w:type="paragraph" w:customStyle="1" w:styleId="29">
    <w:name w:val="封面标准文稿编辑信息"/>
    <w:basedOn w:val="22"/>
    <w:qFormat/>
    <w:uiPriority w:val="0"/>
    <w:pPr>
      <w:framePr/>
      <w:spacing w:before="180" w:line="180" w:lineRule="exact"/>
    </w:pPr>
    <w:rPr>
      <w:sz w:val="21"/>
    </w:rPr>
  </w:style>
  <w:style w:type="paragraph" w:customStyle="1" w:styleId="30">
    <w:name w:val="封面标准代替信息"/>
    <w:qFormat/>
    <w:uiPriority w:val="0"/>
    <w:pPr>
      <w:framePr w:w="9140" w:h="1242" w:hRule="exact" w:hSpace="284" w:wrap="auto" w:vAnchor="page" w:hAnchor="page" w:x="1646" w:y="2911" w:anchorLock="1"/>
      <w:spacing w:before="57" w:line="280" w:lineRule="exact"/>
      <w:jc w:val="right"/>
    </w:pPr>
    <w:rPr>
      <w:rFonts w:ascii="宋体" w:hAnsi="Times New Roman" w:eastAsia="宋体" w:cs="Times New Roman"/>
      <w:sz w:val="21"/>
      <w:szCs w:val="24"/>
      <w:lang w:val="en-US" w:eastAsia="zh-CN" w:bidi="ar-SA"/>
    </w:rPr>
  </w:style>
  <w:style w:type="paragraph" w:customStyle="1" w:styleId="31">
    <w:name w:val="其他发布日期"/>
    <w:basedOn w:val="1"/>
    <w:qFormat/>
    <w:uiPriority w:val="0"/>
    <w:pPr>
      <w:framePr w:w="3997" w:h="471" w:hRule="exact" w:vSpace="181" w:wrap="auto" w:vAnchor="page" w:hAnchor="page" w:x="1420" w:y="14098" w:anchorLock="1"/>
      <w:widowControl/>
      <w:jc w:val="left"/>
    </w:pPr>
    <w:rPr>
      <w:rFonts w:ascii="Times New Roman" w:hAnsi="Times New Roman" w:eastAsia="黑体" w:cs="Times New Roman"/>
      <w:kern w:val="0"/>
      <w:sz w:val="28"/>
      <w:szCs w:val="24"/>
    </w:rPr>
  </w:style>
  <w:style w:type="paragraph" w:customStyle="1" w:styleId="32">
    <w:name w:val="其他标准标志"/>
    <w:basedOn w:val="1"/>
    <w:qFormat/>
    <w:uiPriority w:val="0"/>
    <w:pPr>
      <w:framePr w:w="6101" w:h="1389" w:hRule="exact" w:hSpace="181" w:vSpace="181" w:wrap="auto" w:vAnchor="page" w:hAnchor="page" w:x="4674" w:y="943" w:anchorLock="1"/>
      <w:widowControl/>
      <w:shd w:val="solid" w:color="FFFFFF" w:fill="FFFFFF"/>
      <w:spacing w:line="240" w:lineRule="atLeast"/>
      <w:jc w:val="right"/>
    </w:pPr>
    <w:rPr>
      <w:rFonts w:ascii="Times New Roman" w:hAnsi="Times New Roman" w:eastAsia="宋体" w:cs="Times New Roman"/>
      <w:b/>
      <w:w w:val="130"/>
      <w:kern w:val="0"/>
      <w:sz w:val="96"/>
      <w:szCs w:val="24"/>
    </w:rPr>
  </w:style>
  <w:style w:type="paragraph" w:customStyle="1" w:styleId="33">
    <w:name w:val="其他发布部门"/>
    <w:basedOn w:val="1"/>
    <w:qFormat/>
    <w:uiPriority w:val="0"/>
    <w:pPr>
      <w:framePr w:w="7938" w:h="1134" w:hRule="exact" w:hSpace="125" w:vSpace="181" w:wrap="auto" w:vAnchor="page" w:hAnchor="page" w:x="2151" w:y="15311" w:anchorLock="1"/>
      <w:widowControl/>
      <w:spacing w:line="240" w:lineRule="atLeast"/>
      <w:jc w:val="center"/>
    </w:pPr>
    <w:rPr>
      <w:rFonts w:ascii="黑体" w:hAnsi="Times New Roman" w:eastAsia="黑体" w:cs="Times New Roman"/>
      <w:spacing w:val="20"/>
      <w:w w:val="135"/>
      <w:kern w:val="0"/>
      <w:sz w:val="28"/>
      <w:szCs w:val="24"/>
    </w:rPr>
  </w:style>
  <w:style w:type="paragraph" w:customStyle="1" w:styleId="34">
    <w:name w:val="其他实施日期"/>
    <w:basedOn w:val="1"/>
    <w:qFormat/>
    <w:uiPriority w:val="0"/>
    <w:pPr>
      <w:framePr w:w="3997" w:h="471" w:hRule="exact" w:vSpace="181" w:wrap="auto" w:vAnchor="page" w:hAnchor="page" w:x="7090" w:y="14098" w:anchorLock="1"/>
      <w:widowControl/>
      <w:jc w:val="right"/>
    </w:pPr>
    <w:rPr>
      <w:rFonts w:ascii="Times New Roman" w:hAnsi="Times New Roman" w:eastAsia="黑体" w:cs="Times New Roman"/>
      <w:kern w:val="0"/>
      <w:sz w:val="28"/>
      <w:szCs w:val="24"/>
    </w:rPr>
  </w:style>
  <w:style w:type="character" w:customStyle="1" w:styleId="35">
    <w:name w:val="页眉 Char"/>
    <w:basedOn w:val="10"/>
    <w:link w:val="5"/>
    <w:qFormat/>
    <w:uiPriority w:val="99"/>
    <w:rPr>
      <w:sz w:val="18"/>
      <w:szCs w:val="18"/>
    </w:rPr>
  </w:style>
  <w:style w:type="character" w:customStyle="1" w:styleId="36">
    <w:name w:val="页脚 Char"/>
    <w:basedOn w:val="10"/>
    <w:link w:val="4"/>
    <w:qFormat/>
    <w:uiPriority w:val="99"/>
    <w:rPr>
      <w:sz w:val="18"/>
      <w:szCs w:val="18"/>
    </w:rPr>
  </w:style>
  <w:style w:type="paragraph" w:customStyle="1" w:styleId="37">
    <w:name w:val="Table Paragraph"/>
    <w:basedOn w:val="1"/>
    <w:qFormat/>
    <w:uiPriority w:val="1"/>
    <w:pPr>
      <w:autoSpaceDE w:val="0"/>
      <w:autoSpaceDN w:val="0"/>
      <w:jc w:val="left"/>
    </w:pPr>
    <w:rPr>
      <w:rFonts w:ascii="宋体" w:hAnsi="宋体" w:eastAsia="宋体" w:cs="宋体"/>
      <w:kern w:val="0"/>
      <w:sz w:val="22"/>
      <w:lang w:eastAsia="en-US"/>
    </w:rPr>
  </w:style>
  <w:style w:type="character" w:customStyle="1" w:styleId="38">
    <w:name w:val="批注框文本 Char"/>
    <w:basedOn w:val="10"/>
    <w:link w:val="3"/>
    <w:semiHidden/>
    <w:qFormat/>
    <w:uiPriority w:val="99"/>
    <w:rPr>
      <w:kern w:val="2"/>
      <w:sz w:val="18"/>
      <w:szCs w:val="18"/>
    </w:rPr>
  </w:style>
  <w:style w:type="paragraph" w:customStyle="1" w:styleId="39">
    <w:name w:val="二级条标题"/>
    <w:basedOn w:val="28"/>
    <w:next w:val="14"/>
    <w:qFormat/>
    <w:uiPriority w:val="0"/>
    <w:pPr>
      <w:numPr>
        <w:ilvl w:val="2"/>
        <w:numId w:val="1"/>
      </w:numPr>
      <w:spacing w:before="50" w:after="50"/>
      <w:outlineLvl w:val="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8</Pages>
  <Words>3316</Words>
  <Characters>3959</Characters>
  <Lines>36</Lines>
  <Paragraphs>10</Paragraphs>
  <TotalTime>22</TotalTime>
  <ScaleCrop>false</ScaleCrop>
  <LinksUpToDate>false</LinksUpToDate>
  <CharactersWithSpaces>4136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2024-11-14T20:32:00Z</dcterms:created>
  <dc:creator>hp</dc:creator>
  <cp:lastModifiedBy>jiangshui</cp:lastModifiedBy>
  <dcterms:modified xsi:type="dcterms:W3CDTF">2024-11-18T03:54:17Z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DACDF3BF4CD24A0786E535B741BF0815_13</vt:lpwstr>
  </property>
</Properties>
</file>